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13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Continuing a proud tradition of success on the gridiron, the Carthage High School football team captured the University Interscholastic League 4A Division 2 state championship on December 18, 2020,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Bulldogs won the title with a commanding 70-14 triumph over Gilmer High School, successfully defending their 2019 crown and taking home the school's eighth state championship in football since 2008; the victory completed a season in which the team dominated its competition en route to an undefeated 14-0 record;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beginning its march through the postseason with an impressive showing over Silsbee High School, Carthage went on to defeat Salado and China Spring High Schools to secure a spot in the state semifinals against Wimberley; in that game, the Bulldogs raced to a 17-0 lead at halftime before closing out a 38-7 win and earning a trip to the state championship game;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rematch of an early-season contest against Gilmer, Carthage fell behind early in the state final, trailing 14-0 in the first quarter; the Bulldogs came roaring back, scoring five unanswered touchdowns in the first half and ultimately securing their second-straight undefeated season with a 56-point win; Offensive MVP Mason Courtney led the team with 289 all-purpose yards, and Brandon King was selected the Defensive MVP for his two-touchdown, four-interception performance;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Excelling with a true team effort, Carthage received valuable contributions from each member of the roster over the course of the 2020 campaign; the players were guided by head coach Scott Surratt, who extended his successful tenure by earning his eighth state crown with the Bulldogs;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Carthage High School football team demonstrated admirable skill and determination in winning the state title and achieving a perfect record against top competition, and these talented student-athletes will treasure the memory of this accomplishment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congratulate the Carthage High School football team on winning the 2020 UIL 4A Division 2 state championship and extend to all those associated with the squad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 and Senate.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S.C.R.</w:t>
      </w:r>
      <w:r xml:space="preserve">
        <w:t> </w:t>
      </w:r>
      <w:r>
        <w:t xml:space="preserve">No.</w:t>
      </w:r>
      <w:r xml:space="preserve">
        <w:t> </w:t>
      </w:r>
      <w:r>
        <w:t xml:space="preserve">13 was adopted by the Senate on April 19, 2021.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S.C.R.</w:t>
      </w:r>
      <w:r xml:space="preserve">
        <w:t> </w:t>
      </w:r>
      <w:r>
        <w:t xml:space="preserve">No.</w:t>
      </w:r>
      <w:r xml:space="preserve">
        <w:t> </w:t>
      </w:r>
      <w:r>
        <w:t xml:space="preserve">13 was adopted by the House on April 30, 2021.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