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87R6111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S.C.R.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We the people, the U.S. Congress, and the states have a compelling interest in fostering robust political debate and self-government, securing the liberty, political equality, and equal free speech rights of our citizens, guarding against corruption, protecting the integrity and fairness of elections, and preserving federalism and the interest of the states; and</w:t>
      </w:r>
    </w:p>
    <w:p w:rsidR="003F3435" w:rsidRDefault="0032493E">
      <w:pPr>
        <w:spacing w:line="480" w:lineRule="auto"/>
        <w:ind w:firstLine="720"/>
        <w:jc w:val="both"/>
      </w:pPr>
      <w:r>
        <w:t xml:space="preserve">WHEREAS, Over time, the U.S. Supreme Court has gradually come to equate unlimited spending to influence elections with "free speech"; and</w:t>
      </w:r>
    </w:p>
    <w:p w:rsidR="003F3435" w:rsidRDefault="0032493E">
      <w:pPr>
        <w:spacing w:line="480" w:lineRule="auto"/>
        <w:ind w:firstLine="720"/>
        <w:jc w:val="both"/>
      </w:pPr>
      <w:r>
        <w:t xml:space="preserve">WHEREAS, The very privileges given to corporations or other artificial entities that enhance their ability to attract capital and maximize the return on their shareholders' investments also give them financial capacity to engage in spending that drowns out the individual voices of natural persons; and</w:t>
      </w:r>
    </w:p>
    <w:p w:rsidR="003F3435" w:rsidRDefault="0032493E">
      <w:pPr>
        <w:spacing w:line="480" w:lineRule="auto"/>
        <w:ind w:firstLine="720"/>
        <w:jc w:val="both"/>
      </w:pPr>
      <w:r>
        <w:t xml:space="preserve">WHEREAS, Corporations and other artificial entities may be under the control of citizens of foreign countries who are ineligible to participate in our elections; and</w:t>
      </w:r>
    </w:p>
    <w:p w:rsidR="003F3435" w:rsidRDefault="0032493E">
      <w:pPr>
        <w:spacing w:line="480" w:lineRule="auto"/>
        <w:ind w:firstLine="720"/>
        <w:jc w:val="both"/>
      </w:pPr>
      <w:r>
        <w:t xml:space="preserve">WHEREAS, Money from outside of Texas increasingly influences the selection of candidates and election results in the state; and</w:t>
      </w:r>
    </w:p>
    <w:p w:rsidR="003F3435" w:rsidRDefault="0032493E">
      <w:pPr>
        <w:spacing w:line="480" w:lineRule="auto"/>
        <w:ind w:firstLine="720"/>
        <w:jc w:val="both"/>
      </w:pPr>
      <w:r>
        <w:t xml:space="preserve">WHEREAS, The influence of concentrated capital on our political system, whether from wealthy individuals, corporations, or other artificial entities, is damaging the interests of free debate and speech for all citizens, weakening the rights of states to self-governance in our federal system, increasing the risk of systemic corruption, and forcing candidates and elected officials to engage in a money arms race that distracts from their responsibilities to their constituents; and</w:t>
      </w:r>
    </w:p>
    <w:p w:rsidR="003F3435" w:rsidRDefault="0032493E">
      <w:pPr>
        <w:spacing w:line="480" w:lineRule="auto"/>
        <w:ind w:firstLine="720"/>
        <w:jc w:val="both"/>
      </w:pPr>
      <w:r>
        <w:t xml:space="preserve">WHEREAS, As with previous occasions when the people have been called to correct Supreme Court misinterpretations of the Constitution, a constitutional amendment is necessary to correct this situation; and</w:t>
      </w:r>
    </w:p>
    <w:p w:rsidR="003F3435" w:rsidRDefault="0032493E">
      <w:pPr>
        <w:spacing w:line="480" w:lineRule="auto"/>
        <w:ind w:firstLine="720"/>
        <w:jc w:val="both"/>
      </w:pPr>
      <w:r>
        <w:t xml:space="preserve">WHEREAS, Reasonable, content-neutral limits on the role of money used to influence outcomes of elections are necessary to secure the rights of all the citizens of our state to be represented and to participate in elections and self-government regardless of wealth, to protect the integrity of elections and government against out-of-state and foreign interests and undue influence of concentrated economic capital, and to advance other values identified herein;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an amendment to the United States Constitution to clarify that states may set reasonable limits on the raising and spending of money by candidates and others to influence elections and ballot measures in the states, and that Congress may set reasonable limits on the raising and spending of money by candidates and others to influence federal elections, and that in so doing the states and Congress may distinguish between natural persons and corporations and other artificial entities created by law, including prohibiting such entities from spending money to influence elections and ballot measures; and, be it further</w:t>
      </w:r>
    </w:p>
    <w:p w:rsidR="003F3435" w:rsidRDefault="0032493E">
      <w:pPr>
        <w:spacing w:line="480" w:lineRule="auto"/>
        <w:ind w:firstLine="720"/>
        <w:jc w:val="both"/>
      </w:pPr>
      <w:r>
        <w:t xml:space="preserve">RESOLVED, That the Texas secretary of state forward official copies of this resolution to the speaker and the minority leader of the United States House of Representatives, to the majority and minority leaders of the United States Senate, and to each member of the Texas congressional delegation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