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47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University of North Texas softball player Hope Trautwein earned a place in the school's record books with her flawless pitching performance on April 11,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the mound for the opening game of a doubleheader at the University of Arkansas at Pine Bluff, Ms.</w:t>
      </w:r>
      <w:r xml:space="preserve">
        <w:t> </w:t>
      </w:r>
      <w:r>
        <w:t xml:space="preserve">Trautwein threw the first perfect game in UNT softball history, striking out all 21 batters she faced in the 3-0 win; she allowed no walks and no hits and delivered what is believed to be the first unblemished NCAA Division I seven-inning performance in which every out was a strikeout; moreover, her accomplishment marked only the second perfect game ever recorded in Conference USA softball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Trautwein has now hurled three collegiate no-hitters, and she has also struck out 21 batters in a single contest on three occasions; she leads UNT in numerous statistical categories and is an All-Conference First Team selection; a former standout player at Hendrickson High School in Pflugerville, she was a two-time All-District pick and was selected as the league Pitcher of the Year in 2017 after leading the Hawks to the regional quarterfinals of the state playoffs;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achieving the rare feat of throwing a perfect game, Hope Trautwein has distinguished herself as one of the top pitchers in college softball, and she may indeed reflect with pride on a job well done;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congratulate Hope Trautwein on pitching a perfect game in which she struck out all 21 opposing batters and extend to her sincere best wishes for continued success as a member of the University of North Texas softball team;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Trautwein as an expression of high regard by the Texas House of Representatives and Senate.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S.C.R.</w:t>
      </w:r>
      <w:r xml:space="preserve">
        <w:t> </w:t>
      </w:r>
      <w:r>
        <w:t xml:space="preserve">No.</w:t>
      </w:r>
      <w:r xml:space="preserve">
        <w:t> </w:t>
      </w:r>
      <w:r>
        <w:t xml:space="preserve">47 was adopted by the Senate on April 28, 2021.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S.C.R.</w:t>
      </w:r>
      <w:r xml:space="preserve">
        <w:t> </w:t>
      </w:r>
      <w:r>
        <w:t xml:space="preserve">No.</w:t>
      </w:r>
      <w:r xml:space="preserve">
        <w:t> </w:t>
      </w:r>
      <w:r>
        <w:t xml:space="preserve">47 was adopted by the House on May 8, 2021.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