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S.J.R.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a right for certain residents receiving care in residential settings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resident of a nursing facility, assisted living facility, intermediate care facility for individuals with an intellectual disability, residence providing home and community-based services, or state supported living center, as those terms are defined by general law, has the right to designate an essential caregiver with whom the facility, residence, or center may not prohibit in-person visitation.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for guidelines for a facility, residence, or center described by Subsection (a) of this section to follow in establishing essential caregiver visitation policies and procedures.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certain residents receiving care in residential settings to designate an essential caregiver for in-person visitation."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