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87R2072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S.J.R.</w:t>
      </w:r>
      <w:r xml:space="preserve">
        <w:t> </w:t>
      </w:r>
      <w:r>
        <w:t xml:space="preserve">No.</w:t>
      </w:r>
      <w:r xml:space="preserve">
        <w:t> </w:t>
      </w:r>
      <w:r>
        <w:t xml:space="preserve">19</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establishing a right for residents of certain facilities to designate an essential caregiver for in-person visitation.</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 Texas Constitution, is amended by adding Section 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w:t>
      </w:r>
      <w:r>
        <w:rPr>
          <w:u w:val="single"/>
        </w:rPr>
        <w:t xml:space="preserve"> </w:t>
      </w:r>
      <w:r>
        <w:rPr>
          <w:u w:val="single"/>
        </w:rPr>
        <w:t xml:space="preserve"> </w:t>
      </w:r>
      <w:r>
        <w:rPr>
          <w:u w:val="single"/>
        </w:rPr>
        <w:t xml:space="preserve">(a)  A resident of a nursing facility, assisted living facility, or state supported living center, as those terms are defined by general law, has the right to designate at least one essential caregiver with whom the facility or center may not prohibit in-person visitation.</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by general law may provide for guidelines for a facility or center described by Subsection (a) of this section to follow in establishing essential caregiver visitation policies and procedures.</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establishing a right for residents of certain facilities to designate an essential caregiver for in-person visitation."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