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87R2696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Schwertner</w:t>
      </w:r>
      <w:r xml:space="preserve">
        <w:tab wTab="150" tlc="none" cTlc="0"/>
      </w:r>
      <w:r>
        <w:t xml:space="preserve">S.J.R.</w:t>
      </w:r>
      <w:r xml:space="preserve">
        <w:t> </w:t>
      </w:r>
      <w:r>
        <w:t xml:space="preserve">No.</w:t>
      </w:r>
      <w:r xml:space="preserve">
        <w:t> </w:t>
      </w:r>
      <w:r>
        <w:t xml:space="preserve">22</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prohibiting the use of state funds to pay for the obligations of a local public retirement system.</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67, Article XVI, Texas Constitution,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This state is not liable for any debts or other obligations of a retirement system described by Subsection (c) of this section. </w:t>
      </w:r>
      <w:r>
        <w:rPr>
          <w:u w:val="single"/>
        </w:rPr>
        <w:t xml:space="preserve"> </w:t>
      </w:r>
      <w:r>
        <w:rPr>
          <w:u w:val="single"/>
        </w:rPr>
        <w:t xml:space="preserve">The legislature may not appropriate money to a retirement system described by Subsection (c) of this section to pay any debts or other obligations of the retirement system.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2, 2021.  The ballot shall be printed to permit voting for or against the proposition:  "The constitutional amendment prohibiting the legislature from appropriating state money to a local public retirement system to pay any debts or other obligations of the retirement system."</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