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S.J.R.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to provide financial assistance to political subdivisions located in areas of the state affected by a disaster, including an epidemic or pandemic.</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legislature by general law may authorize the disaster reinvestment and infrastructure planning board or its successor to issue general obligation bonds of the State of Texas in an amount not to exceed $500 million and to enter into related credit agreements.  The proceeds from the sale of the bonds shall be deposited to the credit of the disaster reinvestment and infrastructure planning revolving fund or its successor fund and shall be used only to respond to a disaster, including an epidemic or pandemic, in the manner provided by the legislature by general law.  The expenses of issuance of the bonds shall be paid from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authorized under this section shall be executed in the form, on the terms, and in the denominations, bear interest, and be issued as prescribed by the disaster reinvestment and infrastructure planning board or its successor.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authorized under this section constitute a general obligation of the state.  While any of the bonds or interest on the bonds is outstanding and unpaid, there is appropriated out of the first money coming into the treasury in each fiscal year not otherwise appropriated by this constitution an amount sufficient to pay the principal of and interest on the bonds that mature or become due during the fiscal year, including an amount sufficient to make payments under a related credit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from the issuance and sale of the bonds, and the interest earned on the bonds, are appropriated when received by the state and may be used as provided by this section and law enacted under this section without further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issuance of general obligation bonds to provide financial assistance to political subdivisions located in areas of the state affected by a disaster, including an epidemic or pandemic."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