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87R6794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S.J.R.</w:t>
      </w:r>
      <w:r xml:space="preserve">
        <w:t> </w:t>
      </w:r>
      <w:r>
        <w:t xml:space="preserve">No.</w:t>
      </w:r>
      <w:r xml:space="preserve">
        <w:t> </w:t>
      </w:r>
      <w:r>
        <w:t xml:space="preserve">49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foster economic development and job growth and to provide tax relief and funding for education and public safety by creating the Texas Gaming Commission, authorizing and regulating casino gaming at a limited number of destination resorts and facilities licensed by the commission, authorizing sports wagering, requiring occupational licenses to conduct casino gaming, and requiring the imposition of a tax.</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47(a), Article 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and (e) of this section </w:t>
      </w:r>
      <w:r>
        <w:rPr>
          <w:u w:val="single"/>
        </w:rPr>
        <w:t xml:space="preserve">and Section 47a of this article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47a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unless modified by general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"Casino" means a licensed facility at which casino gaming is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"Casino gaming" means any game of chance or similar activity that involves the making of a bet for consideration.  The term includes wagering on any type of slot machine or table game as defined by the legislature, using money, casino credit, or any representation of value.  The term does not include bingo, charitable raffles, or the state lottery authorized under Section 47 of this article.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"Destination resort" means a mixed-use development consisting of a combination of various tourism amenities and facilities, including hotels, villas, restaurants, limited gaming facilities, meeting facilities, attractions, entertainment facilities, shopping centers, and casino gaming facilities.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"Education" means public education, public higher education, and adult education related to responsible gaming.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"Gaming position" means a designated position for a person to engage in casino gaming at a table game or slot machine.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"Limited casino gaming" means casino gaming in a licensed facility that is limited to not more than 750 gaming positions, of which not more than 25 percent may be at table games, as defined by the legislature.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"Metropolitan statistical area" means a metropolitan statistical area designated by the United States Office of Management and Budget.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"Public safety programs" means programs for crime prevention and law enforcement, including programs designed to prevent and prosecute crimes involving human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Casino gaming at a limited number of locations is authorized in this state in accordance with this section to foster economic development and job growth and to provide tax relief and funding for education and public safety programs.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by general law shall establish the Texas Gaming Commission with broad authority to adopt rules the commission considers necessary or desirable for the strict regulation of casino gaming as authorized by this section.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may authorize and regulate the placing of wagers on sporting events, as defined by general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shall authorize the Texas Gaming Commission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not more than four Class I gaming licenses to conduct casino gaming at destination resorts located in metropolitan statistical areas of this state with an estimated population of two million or more on July 1, 2019, provided that only one Class I licensed destination resort is located within any  one metropolitan statistical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not more than three Class II licenses to conduct limited casino gaming to applicants who, on January 1, 2021, held and who continue to hold an active license to conduct pari-mutuel wagering on horse races at a racetrack located within a metropolitan statistical area with an estimated population of two million or more on July 1, 2019, and who comply with the requirements of this section, general law enacted pursuant to this section, and rules adopted by the Texas Gaming Commission under this section and the general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not more than two Class III licenses to conduct limited casino gaming to applicants who, on January 1, 2021, held and who continue to hold an active license to conduct pari-mutuel wagering on greyhound races at a racetrack located within a metropolitan statistical area with an estimated population of less than two million on July 1, 2019, and who comply with the requirements of this section, general law enacted pursuant to this section, and rules adopted by the Texas Gaming Commission under this section and general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an Indian tribe recognized by the United States government under federal law to operate slot machines or casino gaming on its Indian land within this state and held in trust by the United States on January 1, 1998, in accordance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effective gaming agreement that includes a provision requiring the tribe to remit to this state a portion of its gaming revenue in an amount equal to the rate provided in the agreement;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general state law that includes a provision requiring the Indian tribe to remit to this state a portion of its gaming revenue in an amount equal to the rate provided by the general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legislature by general law shall direct the Texas Gaming Commission by rule to ensure license applicants who are granted a Class II license authorized by Subsection (e)(2) of this section continue to maintain significant live horse racing at the applicant's racetrack and maintain the applicant's primary purpose as a racetrack, and that limited casino gaming is used as a complimentary amenity to promote and support horse racing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legislature by general law shall authorize license holders who are granted a Class III license authorized by Subsection (e)(3) of this section to offer limited casino gaming under that license at any location within the same metropolitan statistical area as the holder's licensed greyhound racetrack.</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To satisfy the intent of this section, the legislature by general law shall establish additional restrictions on the facilities of a license holder who holds a Class II or Class III casino gaming license authorized under Subsection (e)(2) or (e)(3) of this section, including limits on total square footage, gaming square footage, and overnight accommodations, for the purposes of adequately distinguishing between the license classes described in Subsection (e) of this section and limiting casino gaming to certain metropolitan statistical areas in this state.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To ensure the greatest economic impact to this state from destination resorts granted a Class I license to conduct casino gaming, the legislature by general law shall direct the Texas Gaming Commission, in determining which applicants will be issued a license, to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investment to be made by each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job creation and workforce diversity proposed by each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applicant's experience in resort development and casino operation;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potential tax revenue to this state from gaming and non-gaming activities at a proposed resort;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entities operating or individuals residing in this state are part of the application approval process or are approved vendors;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an applicant intends to seek state or local tax incentives for their project.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legislature by general law may develop additional considerations and requirements for licenses to conduct casino gaming, and restrictions and penalties for the conduct of casino gaming in this state.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To ensure that a requisite level of economic development and job growth benefiting the people of this state accompanies each destination resort granted a Class I license to conduct casino gaming, the legislature by general law shall require an applicant, as a condition to receiving and holding a license, to commit to building a destination resort with new total land and development investments of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 billion for a destination resort located in a metropolitan statistical area with an estimated population of five million or more on July 1, 2019;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 billion for a destination resort located in a metropolitan statistical area with an estimated population of two million or more but less than five million on July 1, 2019.</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legislature by general law shall require that, in meeting the requirements of Subsection (k) of this section, total land and development investments proposed as part of an application to conduct casino gaming at a destination resort may not include public money or facilities developed or built with public assistance or tax incentives of any kind.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legislature by general law may allow land and development investments made in the five years preceding the date a license application for a Class I destination resort is submitted to be included in the calculation of new total land and development investment requirements under Subsection (k) of this section.</w:t>
      </w:r>
      <w:r>
        <w:t xml:space="preserve"> </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legislature by general law shall impose a tax on the casino gaming revenue of casino gaming license holders in this state.  The legislature shall set the tax rates for casino gaming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of the gross gaming revenue from table games, as defined by the legislature;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 percent of the gross gaming revenue from slot machines, as defined by the legislature.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legislature by general law shall establish procedures to determine whether a Class I license application meets the investment requirements of Subsection (k) of this section and whether an applicant who is granted a Class I license satisfies the investment commitments made in their application.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2, 2021.  The ballot shall be printed to permit voting for or against the proposition: "The constitutional amendment to foster economic development and job growth and to provide tax relief and funding for education and public safety by creating the Texas Gaming Commission, authorizing casino gaming at a limited number of destination resorts and facilities licensed by the commission, and authorizing sports wagering."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