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87R9071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Bettencourt</w:t>
      </w:r>
      <w:r xml:space="preserve">
        <w:tab wTab="150" tlc="none" cTlc="0"/>
      </w:r>
      <w:r>
        <w:t xml:space="preserve">S.J.R.</w:t>
      </w:r>
      <w:r xml:space="preserve">
        <w:t> </w:t>
      </w:r>
      <w:r>
        <w:t xml:space="preserve">No.</w:t>
      </w:r>
      <w:r xml:space="preserve">
        <w:t> </w:t>
      </w:r>
      <w:r>
        <w:t xml:space="preserve">51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prohibiting the unsolicited distribution of an application form for an absentee ballot.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VI, Texas Constitution,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officer or employee of this state or of a political subdivision of this state may not distribute an official application form for an absentee ballot to a person unless the person has requested the distribution.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w:t>
      </w:r>
      <w:r>
        <w:t xml:space="preserve"> </w:t>
      </w:r>
      <w:r>
        <w:t xml:space="preserve">"The constitutional amendment prohibiting the unsolicited distribution of an application form for an absentee ballot."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