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Bettencourt</w:t>
      </w:r>
      <w:r xml:space="preserve">
        <w:tab wTab="150" tlc="none" cTlc="0"/>
      </w:r>
      <w:r>
        <w:t xml:space="preserve">S.J.R.</w:t>
      </w:r>
      <w:r xml:space="preserve">
        <w:t> </w:t>
      </w:r>
      <w:r>
        <w:t xml:space="preserve">No.</w:t>
      </w:r>
      <w:r xml:space="preserve">
        <w:t> </w:t>
      </w:r>
      <w:r>
        <w:t xml:space="preserve">51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20,</w:t>
      </w:r>
      <w:r xml:space="preserve">
        <w:t> </w:t>
      </w:r>
      <w:r>
        <w:t xml:space="preserve">2021, reported favorably by the following vote:</w:t>
      </w:r>
      <w:r>
        <w:t xml:space="preserve"> </w:t>
      </w:r>
      <w:r>
        <w:t xml:space="preserve"> </w:t>
      </w:r>
      <w:r>
        <w:t xml:space="preserve">Yeas 6, Nays 2, one present not voting;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prohibiting the unsolicited distribution of an application form for an absentee ballot.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 Texas Constitution,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officer or employee of this state or of a political subdivision of this state may not distribute an official application form for an absentee ballot to a person unless the person has requested the distribution.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prohibiting the unsolicited distribution of an application form for an absentee ballot."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