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87R12332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S.J.R.</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right to own, hold, and use any mutually agreed upon medium of exchange.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w:t>
      </w:r>
      <w:r>
        <w:rPr>
          <w:u w:val="single"/>
        </w:rPr>
        <w:t xml:space="preserve"> </w:t>
      </w:r>
      <w:r>
        <w:rPr>
          <w:u w:val="single"/>
        </w:rPr>
        <w:t xml:space="preserve"> </w:t>
      </w:r>
      <w:r>
        <w:rPr>
          <w:u w:val="single"/>
        </w:rPr>
        <w:t xml:space="preserve">The right of the people to own, hold, and use a mutually agreed upon medium of exchange, including cash, coin, bullion, digital currency, or scrip, when trading and contracting for goods and services shall not be infringed.  No government shall prohibit or encumber the ownership or holding of any form or amount of money or other currency.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recognizing the right of the people to own, hold, and use a mutually agreed upon medium of exchange, including cash, coin, bullion, digital currency, or privately issued scrip."</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