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S.J.R.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credit against the ad valorem taxes imposed by a school district on the residence homesteads of certain educators who purchase school supplies.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(a)  The legislature by general law may provide that a person who is an educator is entitled to a credit against the ad valorem taxes imposed by a school district on the person's residence homestead in an amount equal to the lesser of the total amount the person spent on school supplies during the school year ending in the tax year for which the person claims the credit or $100.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authorize the legislature to require a school district to refund ad valorem taxes that have been paid by a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prescribe eligibility requirements for the tax credit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provide for a credit against the ad valorem taxes imposed by a school district on the residence homesteads of certain educators who purchase school supplies."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