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Tarrant County and to join its citizens in celebration of Tarrant County Days at the State Capitol on February 23 and 24, 2021; and</w:t>
      </w:r>
    </w:p>
    <w:p w:rsidR="003F3435" w:rsidRDefault="0032493E">
      <w:pPr>
        <w:spacing w:line="480" w:lineRule="auto"/>
        <w:ind w:firstLine="720"/>
        <w:jc w:val="both"/>
      </w:pPr>
      <w:r>
        <w:rPr>
          <w:b/>
        </w:rPr>
        <w:t xml:space="preserve">WHEREAS</w:t>
      </w:r>
      <w:r>
        <w:t xml:space="preserve">, Established in 1849, Tarrant County was named for General Edward H. Tarrant of the Republic of Texas Militia; its county seat is Fort Worth, and it is one of 26 counties formed from the original Peters Colony; and</w:t>
      </w:r>
    </w:p>
    <w:p w:rsidR="003F3435" w:rsidRDefault="0032493E">
      <w:pPr>
        <w:spacing w:line="480" w:lineRule="auto"/>
        <w:ind w:firstLine="720"/>
        <w:jc w:val="both"/>
      </w:pPr>
      <w:r>
        <w:rPr>
          <w:b/>
        </w:rPr>
        <w:t xml:space="preserve">WHEREAS</w:t>
      </w:r>
      <w:r>
        <w:t xml:space="preserve">, Residents of Tarrant County have continued to honor its frontier roots and pioneering spirit as the area has transformed into a vibrant center for business, education, and world-class culture; and </w:t>
      </w:r>
    </w:p>
    <w:p w:rsidR="003F3435" w:rsidRDefault="0032493E">
      <w:pPr>
        <w:spacing w:line="480" w:lineRule="auto"/>
        <w:ind w:firstLine="720"/>
        <w:jc w:val="both"/>
      </w:pPr>
      <w:r>
        <w:rPr>
          <w:b/>
        </w:rPr>
        <w:t xml:space="preserve">WHEREAS</w:t>
      </w:r>
      <w:r>
        <w:t xml:space="preserve">, One of the most populous counties in the state and nation, Tarrant County serves as a cultural hub in North Texas and is known for its exceptional museums, including the renowned Kimbell Art Museum and the National Cowgirl Museum and Hall of Fame; the county has 20 outstanding public school districts, and it is home to many excellent institutions of higher education that provide a variety of opportunities for students and produce a highly educated workforce; and</w:t>
      </w:r>
    </w:p>
    <w:p w:rsidR="003F3435" w:rsidRDefault="0032493E">
      <w:pPr>
        <w:spacing w:line="480" w:lineRule="auto"/>
        <w:ind w:firstLine="720"/>
        <w:jc w:val="both"/>
      </w:pPr>
      <w:r>
        <w:rPr>
          <w:b/>
        </w:rPr>
        <w:t xml:space="preserve">WHEREAS</w:t>
      </w:r>
      <w:r>
        <w:t xml:space="preserve">, Leading the regional resurgence in business expansions, retail development, and new housing construction, Tarrant County boasts a prosperous and diverse business community; its assets include cattle ranching, small businesses, multinational corporations, and defense, aerospace, and transportation industries; and</w:t>
      </w:r>
    </w:p>
    <w:p w:rsidR="003F3435" w:rsidRDefault="0032493E">
      <w:pPr>
        <w:spacing w:line="480" w:lineRule="auto"/>
        <w:ind w:firstLine="720"/>
        <w:jc w:val="both"/>
      </w:pPr>
      <w:r>
        <w:rPr>
          <w:b/>
        </w:rPr>
        <w:t xml:space="preserve">WHEREAS</w:t>
      </w:r>
      <w:r>
        <w:t xml:space="preserve">, In response to the COVID-19 pandemic, Tarrant County organized the CARES 4 Tarrant Program, which has enabled the distribution of $29 million to support public health resources and to provide mass testing and vaccinations; the program has also distributed millions of dollars in small business grants and has provided funding for agencies and programs to offer rental assistance and a range of social services for the public; and</w:t>
      </w:r>
    </w:p>
    <w:p w:rsidR="003F3435" w:rsidRDefault="0032493E">
      <w:pPr>
        <w:spacing w:line="480" w:lineRule="auto"/>
        <w:ind w:firstLine="720"/>
        <w:jc w:val="both"/>
      </w:pPr>
      <w:r>
        <w:rPr>
          <w:b/>
        </w:rPr>
        <w:t xml:space="preserve">WHEREAS</w:t>
      </w:r>
      <w:r>
        <w:t xml:space="preserve">, The people of Tarrant County have worked hard to create and maintain their thriving community, and they can be justly proud of their rich history, their many achievements, and their enduring public spirit;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February 23 and 24, 2021, as Tarrant County Days at the State Capitol and extend to all sincere best wishes for an enjoyable and rewarding event;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Nelson, Birdwell</w:t>
      </w:r>
    </w:p>
    <w:p w:rsidR="003F3435" w:rsidRDefault="0032493E">
      <w:pPr>
        <w:jc w:val="right"/>
      </w:pPr>
      <w:r>
        <w:t xml:space="preserve"> Hancock, Powell</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w:t>
      </w:r>
      <w:r>
        <w:t xml:space="preserve">February 23, 2021</w:t>
      </w:r>
      <w:r>
        <w:t xml:space="preserve">.</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