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112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the Texas Motor Speedway for its exceptional contributions to the efforts in distributing the COVID-19 vaccine in Texas;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Texas Motor Speedway is the premier motorsports venue in Texas and is one of the largest sports and entertainment facilities in the country; recently, as the COVID-19 vaccine has become available to the public, the speedway has provided the use of its facility as a vaccination site to allow for the effective large-scale distribution of the COVID-19 vaccine;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</w:t>
      </w:r>
      <w:r>
        <w:t xml:space="preserve"> With hundreds of volunteers and staff members at work, more than 9,000 doses of the vaccine were administered during the first day of distribution at the site; the speedway's 16-lane track and 131 acres of land have provided the necessary space to accommodate the drive-through tents where the vaccine is administered and to allow for efficiently managing the long lines of vehicles carrying people to their vaccination appointments;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One of the largest vaccine hubs in the nation, the Texas Motor Speedway has been invaluable in facilitating the distribution of this life-saving vaccine to the people of Texas; it is truly fitting that this exemplary effort receive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commend all those who have contributed to the distribution of the COVID-19 vaccine at the Texas Motor Speedway and extend to them sincere gratitude for their outstanding work;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the Texas Motor Speedway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Nelson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3,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112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