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128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Randy West of Bowie, who retired in December of 2020 as manager of Public Affairs for the Mid-Tex Division of Atmos Energy Corporation after a distinguished career of nearly 50 years in the natural gas industry;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Over the course of his career with Atmos Energy Corporation, Mr.</w:t>
      </w:r>
      <w:r xml:space="preserve">
        <w:t> </w:t>
      </w:r>
      <w:r>
        <w:t xml:space="preserve">West had an impressive record, and he held a number of leadership positions in Community Relations and Public Affairs for more than 34 years;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While committed to his successful career, he was also focused on making his community a better place, and he has been a longtime active leader in a wide range of civic organizations; he has served as secretary-treasurer of the Bowie Industrial Development Foundation Board, as chair of the Bowie Parks Board, and as a member of the Bowie 4A Economic Development Board, the Wichita Falls Chamber of Commerce Board, and the Montague County Tax Appraisal Board; he has been active with the Bowie Rotary Club and has served as its president, coordinator of the annual golf tournament, and head of the scholarship raffle;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His extensive community involvement has also included service as a coach and board member of the Bowie Sports Association, a 4-H leader, a scoutmaster, and a longtime organizer of the Bowie Alumni FFA Fish Fry; he is a graduate of Leadership Montague County and a member of Carter Lake Road Church of Christ;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His hard work and dedication to serving others have had a positive impact on his profession and his community, and it is truly fitting that he receive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Randy West on his distinguished career and extend to him best wishes for all his future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11,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128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