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192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Fight Crime: Invest in Kids, a nonprofit, nonpartisan organization dedicated to providing guidance and support to at-risk youth, is celebrating its 25th anniversary in 2021;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Founded in 1996, the organization is composed of sheriffs, chiefs of police, other law enforcement executives, and concerned citizens in all 50 states, who share a commitment to steering children away from crime and setting them on a path to long-term success;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law enforcement leaders who are part of the group work to ensure that Texas children and families have access to high-quality, evidence-based resources, including voluntary parent coaching, early childhood care and education, and afterschool and anti-recidivism programs; in addition, the organization operates a Police Training Institute where officers are instructed on how to de-escalate conflict and have safe, positive interactions with at-risk young people;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Through their outstanding work to help youth reach their full potential, the dedicated members of Fight Crime: Invest in Kids have made their communities stronger and safer, and it is indeed a pleasure to recognize this commendable group as it celebrates a significant milestone in its history;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commemorate the 25th anniversary of Fight Crime: Invest in Kids and recognize its members for the contributions they have made to the health, security, and well-being of Texas children;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the organization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Huffman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March 25,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192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