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285</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join the Autism Society of America in honoring the month of April 2021 as Autism Acceptance Month; and</w:t>
      </w:r>
    </w:p>
    <w:p w:rsidR="003F3435" w:rsidRDefault="0032493E">
      <w:pPr>
        <w:spacing w:line="480" w:lineRule="auto"/>
        <w:ind w:firstLine="720"/>
        <w:jc w:val="both"/>
      </w:pPr>
      <w:r>
        <w:rPr>
          <w:b/>
        </w:rPr>
        <w:t xml:space="preserve">WHEREAS</w:t>
      </w:r>
      <w:r>
        <w:t xml:space="preserve">, April has been known as Autism Awareness Month in the United States and has been a time to focus on empowering autistic individuals and their families; today, the autism community seeks to shift the language surrounding autism in order to move beyond "awareness" and to foster acceptance as a means of more fully integrating individuals living with autism into our social fabric; and</w:t>
      </w:r>
    </w:p>
    <w:p w:rsidR="003F3435" w:rsidRDefault="0032493E">
      <w:pPr>
        <w:spacing w:line="480" w:lineRule="auto"/>
        <w:ind w:firstLine="720"/>
        <w:jc w:val="both"/>
      </w:pPr>
      <w:r>
        <w:rPr>
          <w:b/>
        </w:rPr>
        <w:t xml:space="preserve">WHEREAS</w:t>
      </w:r>
      <w:r>
        <w:t xml:space="preserve">, The Autistic Self Advocacy Network began celebrating the month of April as Autism Acceptance Month in 2011, and since then, numerous groups have followed the network's example; a culture of true acceptance can lead to improved comprehensive support services for those with autism and provide them with more opportunities for education, employment, accessible housing, and affordable health care; and</w:t>
      </w:r>
    </w:p>
    <w:p w:rsidR="003F3435" w:rsidRDefault="0032493E">
      <w:pPr>
        <w:spacing w:line="480" w:lineRule="auto"/>
        <w:ind w:firstLine="720"/>
        <w:jc w:val="both"/>
      </w:pPr>
      <w:r>
        <w:rPr>
          <w:b/>
        </w:rPr>
        <w:t xml:space="preserve">WHEREAS</w:t>
      </w:r>
      <w:r>
        <w:t xml:space="preserve">, Autism Acceptance Month is an opportunity to celebrate individual differences while building an inclusive society that enables people with autism to live full lives; it is fitting that we honor the efforts of all who help promote an understanding of autism as a natural condition in the human experience; now, therefore, be it</w:t>
      </w:r>
    </w:p>
    <w:p w:rsidR="003F3435" w:rsidRDefault="0032493E">
      <w:pPr>
        <w:spacing w:line="480" w:lineRule="auto"/>
        <w:ind w:firstLine="720"/>
        <w:jc w:val="both"/>
      </w:pPr>
      <w:r>
        <w:rPr>
          <w:b/>
        </w:rPr>
        <w:t xml:space="preserve">RESOLVED</w:t>
      </w:r>
      <w:r>
        <w:t xml:space="preserve">, That the Senate of the State of Texas, 87th Legislature, hereby recognize April of 2021 as Autism Acceptance Month and encourage citizens and organizations throughout Texas to participate in efforts to support and empower individuals with autism and their families; and, be it further</w:t>
      </w:r>
    </w:p>
    <w:p w:rsidR="003F3435" w:rsidRDefault="0032493E">
      <w:pPr>
        <w:spacing w:line="480" w:lineRule="auto"/>
        <w:ind w:firstLine="720"/>
        <w:jc w:val="both"/>
      </w:pPr>
      <w:r>
        <w:rPr>
          <w:b/>
        </w:rPr>
        <w:t xml:space="preserve">RESOLVED</w:t>
      </w:r>
      <w:r>
        <w:t xml:space="preserve">, That a copy of this Resolution be prepared in honor of Autism Acceptance Month.</w:t>
      </w:r>
    </w:p>
    <w:p w:rsidR="003F3435" w:rsidRDefault="003F3435"/>
    <w:p w:rsidR="003F3435" w:rsidRDefault="0032493E">
      <w:pPr>
        <w:spacing w:line="480" w:lineRule="auto"/>
        <w:jc w:val="right"/>
      </w:pPr>
      <w:r>
        <w:t xml:space="preserve">Lucio</w:t>
      </w:r>
    </w:p>
    <w:p w:rsidR="003F3435" w:rsidRDefault="0032493E">
      <w:pPr>
        <w:jc w:val="both"/>
      </w:pPr>
    </w:p>
    <w:tbl>
      <w:tr>
        <w:tc>
          <w:p>
            <w:r>
              <w:t xml:space="preserve">Alvarado</w:t>
            </w:r>
          </w:p>
        </w:tc>
        <w:tc>
          <w:p>
            <w:r>
              <w:t xml:space="preserve">Hancock</w:t>
            </w:r>
          </w:p>
        </w:tc>
        <w:tc>
          <w:p>
            <w:r>
              <w:t xml:space="preserve">Paxton</w:t>
            </w:r>
          </w:p>
        </w:tc>
      </w:tr>
      <w:tr>
        <w:tc>
          <w:p>
            <w:r>
              <w:t xml:space="preserve">Bettencourt</w:t>
            </w:r>
          </w:p>
        </w:tc>
        <w:tc>
          <w:p>
            <w:r>
              <w:t xml:space="preserve">Hinojosa</w:t>
            </w:r>
          </w:p>
        </w:tc>
        <w:tc>
          <w:p>
            <w:r>
              <w:t xml:space="preserve">Perry</w:t>
            </w:r>
          </w:p>
        </w:tc>
      </w:tr>
      <w:tr>
        <w:tc>
          <w:p>
            <w:r>
              <w:t xml:space="preserve">Birdwell</w:t>
            </w:r>
          </w:p>
        </w:tc>
        <w:tc>
          <w:p>
            <w:r>
              <w:t xml:space="preserve">Huffman</w:t>
            </w:r>
          </w:p>
        </w:tc>
        <w:tc>
          <w:p>
            <w:r>
              <w:t xml:space="preserve">Powell</w:t>
            </w:r>
          </w:p>
        </w:tc>
      </w:tr>
      <w:tr>
        <w:tc>
          <w:p>
            <w:r>
              <w:t xml:space="preserve">Blanco</w:t>
            </w:r>
          </w:p>
        </w:tc>
        <w:tc>
          <w:p>
            <w:r>
              <w:t xml:space="preserve">Hughes</w:t>
            </w:r>
          </w:p>
        </w:tc>
        <w:tc>
          <w:p>
            <w:r>
              <w:t xml:space="preserve">Schwertner</w:t>
            </w:r>
          </w:p>
        </w:tc>
      </w:tr>
      <w:tr>
        <w:tc>
          <w:p>
            <w:r>
              <w:t xml:space="preserve">Buckingham</w:t>
            </w:r>
          </w:p>
        </w:tc>
        <w:tc>
          <w:p>
            <w:r>
              <w:t xml:space="preserve">Johnson</w:t>
            </w:r>
          </w:p>
        </w:tc>
        <w:tc>
          <w:p>
            <w:r>
              <w:t xml:space="preserve">Seliger</w:t>
            </w:r>
          </w:p>
        </w:tc>
      </w:tr>
      <w:tr>
        <w:tc>
          <w:p>
            <w:r>
              <w:t xml:space="preserve">Campbell</w:t>
            </w:r>
          </w:p>
        </w:tc>
        <w:tc>
          <w:p>
            <w:r>
              <w:t xml:space="preserve">Kolkhorst</w:t>
            </w:r>
          </w:p>
        </w:tc>
        <w:tc>
          <w:p>
            <w:r>
              <w:t xml:space="preserve">Springer</w:t>
            </w:r>
          </w:p>
        </w:tc>
      </w:tr>
      <w:tr>
        <w:tc>
          <w:p>
            <w:r>
              <w:t xml:space="preserve">Creighton</w:t>
            </w:r>
          </w:p>
        </w:tc>
        <w:tc>
          <w:p>
            <w:r>
              <w:t xml:space="preserve">Menéndez</w:t>
            </w:r>
          </w:p>
        </w:tc>
        <w:tc>
          <w:p>
            <w:r>
              <w:t xml:space="preserve">Taylor</w:t>
            </w:r>
          </w:p>
        </w:tc>
      </w:tr>
      <w:tr>
        <w:tc>
          <w:p>
            <w:r>
              <w:t xml:space="preserve">Eckhardt</w:t>
            </w:r>
          </w:p>
        </w:tc>
        <w:tc>
          <w:p>
            <w:r>
              <w:t xml:space="preserve">Miles</w:t>
            </w:r>
          </w:p>
        </w:tc>
        <w:tc>
          <w:p>
            <w:r>
              <w:t xml:space="preserve">West</w:t>
            </w:r>
          </w:p>
        </w:tc>
      </w:tr>
      <w:tr>
        <w:tc>
          <w:p>
            <w:r>
              <w:t xml:space="preserve">Gutierrez</w:t>
            </w:r>
          </w:p>
        </w:tc>
        <w:tc>
          <w:p>
            <w:r>
              <w:t xml:space="preserve">Nelson</w:t>
            </w:r>
          </w:p>
        </w:tc>
        <w:tc>
          <w:p>
            <w:r>
              <w:t xml:space="preserve">Whitmire</w:t>
            </w:r>
          </w:p>
        </w:tc>
      </w:tr>
      <w:tr>
        <w:tc>
          <w:p>
            <w:r>
              <w:t xml:space="preserve">Hall</w:t>
            </w:r>
          </w:p>
        </w:tc>
        <w:tc>
          <w:p>
            <w:r>
              <w:t xml:space="preserve">Nichols</w:t>
            </w:r>
          </w:p>
        </w:tc>
        <w:tc>
          <w:p>
            <w:r>
              <w:t xml:space="preserve">Zaffirini</w:t>
            </w:r>
          </w:p>
        </w:tc>
      </w:tr>
    </w:tbl>
    <w:p w:rsidR="003F3435" w:rsidRDefault="0032493E">
      <w:pPr>
        <w:jc w:val="both"/>
      </w:pPr>
    </w:p>
    <w:p w:rsidR="003F3435" w:rsidRDefault="0032493E">
      <w:pPr>
        <w:jc w:val="center"/>
      </w:pPr>
      <w:r>
        <w:t xml:space="preserve">Patrick, President of the Senate</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April 20, 2021.</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