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393</w:t>
      </w:r>
    </w:p>
    <w:p w:rsidR="003F3435" w:rsidRDefault="003F3435"/>
    <w:p w:rsidR="003F3435" w:rsidRDefault="0032493E">
      <w:pPr>
        <w:spacing w:line="480" w:lineRule="auto"/>
        <w:ind w:firstLine="720"/>
        <w:jc w:val="both"/>
      </w:pPr>
      <w:r>
        <w:rPr>
          <w:b/>
        </w:rPr>
        <w:t xml:space="preserve">WHEREAS</w:t>
      </w:r>
      <w:r>
        <w:t xml:space="preserve">, Local dignitaries and other members of the community gathered together on April 10, 2021, for the groundbreaking of Cole Gordon's Helping Hands Ranch in Alvin; and</w:t>
      </w:r>
    </w:p>
    <w:p w:rsidR="003F3435" w:rsidRDefault="0032493E">
      <w:pPr>
        <w:spacing w:line="480" w:lineRule="auto"/>
        <w:ind w:firstLine="720"/>
        <w:jc w:val="both"/>
      </w:pPr>
      <w:r>
        <w:rPr>
          <w:b/>
        </w:rPr>
        <w:t xml:space="preserve">WHEREAS</w:t>
      </w:r>
      <w:r>
        <w:t xml:space="preserve">, The ranch is dedicated to the memory of Cole Gordon, a Friendswood High School student who made immeasurable contributions to his community before his passing on September 22, 2019, at the age of 17; the son of Scott and Heather Gordon, Cole was involved in a wide variety of activities and organizations, including FFA, the Houston Livestock Show and Rodeo Cookoff, the Lighthouse Charity Team, the Friendswood Chamber of Commerce, and Rotary Club Galveston; moreover, he gave of his time and talents to help the Friendswood Fire, Police, and EMS Departments and Galveston County Emergency Response; he was also a valued congregant of Friendswood United Methodist Church; during the last nine years of his life, he participated in 750 charitable events and made a difference in the lives of thousands of people; and</w:t>
      </w:r>
    </w:p>
    <w:p w:rsidR="003F3435" w:rsidRDefault="0032493E">
      <w:pPr>
        <w:spacing w:line="480" w:lineRule="auto"/>
        <w:ind w:firstLine="720"/>
        <w:jc w:val="both"/>
      </w:pPr>
      <w:r>
        <w:rPr>
          <w:b/>
        </w:rPr>
        <w:t xml:space="preserve">WHEREAS</w:t>
      </w:r>
      <w:r>
        <w:t xml:space="preserve">, Cole's legacy of service lives on through the Cole Gordon Helping Hand Foundation, which seeks to provide agricultural and environmental education for area children; once the organization completes construction on Helping Hands Ranch, it will offer young Texans the opportunity to learn various skills, such as fishing, raising livestock, and gun safety; and</w:t>
      </w:r>
    </w:p>
    <w:p w:rsidR="003F3435" w:rsidRDefault="0032493E">
      <w:pPr>
        <w:spacing w:line="480" w:lineRule="auto"/>
        <w:ind w:firstLine="720"/>
        <w:jc w:val="both"/>
      </w:pPr>
      <w:r>
        <w:rPr>
          <w:b/>
        </w:rPr>
        <w:t xml:space="preserve">WHEREAS</w:t>
      </w:r>
      <w:r>
        <w:t xml:space="preserve">, While his journey on this earth ended far too soon, Cole Gordon devoted his life to making the world a better place, and Helping Hands Ranch will serve as a fitting tribute to</w:t>
      </w:r>
    </w:p>
    <w:p w:rsidR="003F3435" w:rsidRDefault="003F3435"/>
    <w:p w:rsidR="003F3435" w:rsidRDefault="0032493E">
      <w:pPr>
        <w:spacing w:line="480" w:lineRule="auto"/>
        <w:jc w:val="both"/>
      </w:pPr>
      <w:r>
        <w:t xml:space="preserve">the memory of this exceptionally kind and generous young man;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commemorate the groundbreaking of Cole Gordon's Helping Hands Ranch and extend sincere best wishes to all those associated with this worthwhile endeavor; and, be it further</w:t>
      </w:r>
    </w:p>
    <w:p w:rsidR="003F3435" w:rsidRDefault="0032493E">
      <w:pPr>
        <w:spacing w:line="480" w:lineRule="auto"/>
        <w:ind w:firstLine="720"/>
        <w:jc w:val="both"/>
      </w:pPr>
      <w:r>
        <w:rPr>
          <w:b/>
        </w:rPr>
        <w:t xml:space="preserve">RESOLVED</w:t>
      </w:r>
      <w:r>
        <w:t xml:space="preserve">, That an official copy of this Resolution be prepared for the ranch as an expression of high regard from the Texas Senate.</w:t>
      </w:r>
    </w:p>
    <w:p w:rsidR="003F3435" w:rsidRDefault="003F3435"/>
    <w:p w:rsidR="003F3435" w:rsidRDefault="0032493E">
      <w:pPr>
        <w:spacing w:line="480" w:lineRule="auto"/>
        <w:jc w:val="right"/>
      </w:pPr>
      <w:r>
        <w:t xml:space="preserve">Taylor</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Paxton</w:t>
            </w:r>
          </w:p>
        </w:tc>
      </w:tr>
      <w:tr>
        <w:tc>
          <w:p>
            <w:r>
              <w:t xml:space="preserve">Birdwell</w:t>
            </w:r>
          </w:p>
        </w:tc>
        <w:tc>
          <w:p>
            <w:r>
              <w:t xml:space="preserve">Huffman</w:t>
            </w:r>
          </w:p>
        </w:tc>
        <w:tc>
          <w:p>
            <w:r>
              <w:t xml:space="preserve">Perry</w:t>
            </w:r>
          </w:p>
        </w:tc>
      </w:tr>
      <w:tr>
        <w:tc>
          <w:p>
            <w:r>
              <w:t xml:space="preserve">Blanco</w:t>
            </w:r>
          </w:p>
        </w:tc>
        <w:tc>
          <w:p>
            <w:r>
              <w:t xml:space="preserve">Hughes</w:t>
            </w:r>
          </w:p>
        </w:tc>
        <w:tc>
          <w:p>
            <w:r>
              <w:t xml:space="preserve">Powell</w:t>
            </w:r>
          </w:p>
        </w:tc>
      </w:tr>
      <w:tr>
        <w:tc>
          <w:p>
            <w:r>
              <w:t xml:space="preserve">Buckingham</w:t>
            </w:r>
          </w:p>
        </w:tc>
        <w:tc>
          <w:p>
            <w:r>
              <w:t xml:space="preserve">Johnson</w:t>
            </w:r>
          </w:p>
        </w:tc>
        <w:tc>
          <w:p>
            <w:r>
              <w:t xml:space="preserve">Schwertner</w:t>
            </w:r>
          </w:p>
        </w:tc>
      </w:tr>
      <w:tr>
        <w:tc>
          <w:p>
            <w:r>
              <w:t xml:space="preserve">Campbell</w:t>
            </w:r>
          </w:p>
        </w:tc>
        <w:tc>
          <w:p>
            <w:r>
              <w:t xml:space="preserve">Kolkhorst</w:t>
            </w:r>
          </w:p>
        </w:tc>
        <w:tc>
          <w:p>
            <w:r>
              <w:t xml:space="preserve">Seliger</w:t>
            </w:r>
          </w:p>
        </w:tc>
      </w:tr>
      <w:tr>
        <w:tc>
          <w:p>
            <w:r>
              <w:t xml:space="preserve">Creighton</w:t>
            </w:r>
          </w:p>
        </w:tc>
        <w:tc>
          <w:p>
            <w:r>
              <w:t xml:space="preserve">Lucio</w:t>
            </w:r>
          </w:p>
        </w:tc>
        <w:tc>
          <w:p>
            <w:r>
              <w:t xml:space="preserve">Springer</w:t>
            </w:r>
          </w:p>
        </w:tc>
      </w:tr>
      <w:tr>
        <w:tc>
          <w:p>
            <w:r>
              <w:t xml:space="preserve">Eckhardt</w:t>
            </w:r>
          </w:p>
        </w:tc>
        <w:tc>
          <w:p>
            <w:r>
              <w:t xml:space="preserve">Menéndez</w:t>
            </w:r>
          </w:p>
        </w:tc>
        <w:tc>
          <w:p>
            <w:r>
              <w:t xml:space="preserve">West</w:t>
            </w:r>
          </w:p>
        </w:tc>
      </w:tr>
      <w:tr>
        <w:tc>
          <w:p>
            <w:r>
              <w:t xml:space="preserve">Gutierrez</w:t>
            </w:r>
          </w:p>
        </w:tc>
        <w:tc>
          <w:p>
            <w:r>
              <w:t xml:space="preserve">Miles</w:t>
            </w:r>
          </w:p>
        </w:tc>
        <w:tc>
          <w:p>
            <w:r>
              <w:t xml:space="preserve">Whitmire</w:t>
            </w:r>
          </w:p>
        </w:tc>
      </w:tr>
      <w:tr>
        <w:tc>
          <w:p>
            <w:r>
              <w:t xml:space="preserve">Hall</w:t>
            </w:r>
          </w:p>
        </w:tc>
        <w:tc>
          <w:p>
            <w:r>
              <w:t xml:space="preserve">Nelson</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12,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393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