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Amanda Denise Broderick</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Amanda Denise Broderick, whose life was tragically cut short on April 18, 2021, at the age of 35; and</w:t>
      </w:r>
    </w:p>
    <w:p w:rsidR="003F3435" w:rsidRDefault="0032493E">
      <w:pPr>
        <w:spacing w:line="480" w:lineRule="auto"/>
        <w:ind w:firstLine="720"/>
        <w:jc w:val="both"/>
      </w:pPr>
      <w:r>
        <w:rPr>
          <w:b/>
        </w:rPr>
        <w:t xml:space="preserve">WHEREAS</w:t>
      </w:r>
      <w:r>
        <w:t xml:space="preserve">, Amanda Broderick was born to Charlene and Edward Ramirez on July 17, 1985, in Nampa, Idaho; she was devoted to her parents and siblings, and she cherished her two children, Cayden Broderick and the late Alyssa Broderick; and</w:t>
      </w:r>
    </w:p>
    <w:p w:rsidR="003F3435" w:rsidRDefault="0032493E">
      <w:pPr>
        <w:spacing w:line="480" w:lineRule="auto"/>
        <w:ind w:firstLine="720"/>
        <w:jc w:val="both"/>
      </w:pPr>
      <w:r>
        <w:rPr>
          <w:b/>
        </w:rPr>
        <w:t xml:space="preserve">WHEREAS</w:t>
      </w:r>
      <w:r>
        <w:t xml:space="preserve">, Amanda engaged in life with joy and vigor, and her boundless positivity inspired and uplifted her many friends and loved ones; she enjoyed dancing, running, hiking, and traveling; above all things, she looked forward to spending time with her children and cheering them on from the bleachers at all of their games; and</w:t>
      </w:r>
    </w:p>
    <w:p w:rsidR="003F3435" w:rsidRDefault="0032493E">
      <w:pPr>
        <w:spacing w:line="480" w:lineRule="auto"/>
        <w:ind w:firstLine="720"/>
        <w:jc w:val="both"/>
      </w:pPr>
      <w:r>
        <w:rPr>
          <w:b/>
        </w:rPr>
        <w:t xml:space="preserve">WHEREAS</w:t>
      </w:r>
      <w:r>
        <w:t xml:space="preserve">, A gentle spirit with a true heart for others, Amanda found fulfillment working in the health care industry, and she was always ready to comfort a friend or a loved one in need; she was beloved by many, and she leaves behind memories that will long be treasured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Amanda Denise Broderick;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Amanda Broderick.</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