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457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Senate of the State of Texas is pleased to recognize the Argyle High School girls' golf team, which won the 2021 University Interscholastic League Class 4A state championship;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Lady Eagles won their first state title in golf by defeating defending state champion Andrews High School in a match that was interrupted by storms and lightning and that required a scorecard playoff to determine the winner;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These young athletes have demonstrated great talent and perseverance over the course of the school year, and team members can take great pride in their outstanding performance;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Under the superior leadership and expertise of Coach Nathan Moses, the Lady Eagles have developed exceptional teamwork and discipline;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Winning a state championship is a daunting task that requires countless hours of hard work and an unwavering commitment to excellence; Argyle High School and the people of North Texas are justifiably proud of the Lady Eagles' impressive skills and fine sportsmanship;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87th Legislature, hereby commend the members of the Argyle High School girls'</w:t>
      </w:r>
      <w:r>
        <w:t xml:space="preserve"> </w:t>
      </w:r>
      <w:r>
        <w:t xml:space="preserve">golf team on their outstanding season and extend congratulations to them on winning the 2021 Class 4A state championship;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 copy of this Resolution be prepared for the team as an expression of esteem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Nelson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May 21, 2021.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457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