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87R30237 AJZ-D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2462 (Neave/Paxton)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S.R.</w:t>
      </w:r>
      <w:r xml:space="preserve">
        <w:t> </w:t>
      </w:r>
      <w:r>
        <w:t xml:space="preserve">No.</w:t>
      </w:r>
      <w:r xml:space="preserve">
        <w:t> </w:t>
      </w:r>
      <w:r>
        <w:t xml:space="preserve">548</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House Bill 2462 (the reporting of a sexual assault, to evidence of a sexual assault or other sex offense, and to other law enforcement procedures occurring with respect to a sexual assault or other sex offense)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420.003(1-a),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"Active criminal case" means a case:</w:t>
      </w:r>
    </w:p>
    <w:p w:rsidR="003F3435" w:rsidRDefault="0032493E">
      <w:pPr>
        <w:spacing w:line="480" w:lineRule="auto"/>
        <w:ind w:firstLine="2160"/>
        <w:jc w:val="both"/>
      </w:pPr>
      <w:r>
        <w:t xml:space="preserve">(A)</w:t>
      </w:r>
      <w:r xml:space="preserve">
        <w:t> </w:t>
      </w:r>
      <w:r xml:space="preserve">
        <w:t> </w:t>
      </w:r>
      <w:r>
        <w:t xml:space="preserve">in which:</w:t>
      </w:r>
    </w:p>
    <w:p w:rsidR="003F3435" w:rsidRDefault="0032493E">
      <w:pPr>
        <w:spacing w:line="480" w:lineRule="auto"/>
        <w:ind w:firstLine="2880"/>
        <w:jc w:val="both"/>
      </w:pPr>
      <w:r>
        <w:t xml:space="preserve">(i)</w:t>
      </w:r>
      <w:r xml:space="preserve">
        <w:t> </w:t>
      </w:r>
      <w:r xml:space="preserve">
        <w:t> </w:t>
      </w:r>
      <w:r>
        <w:t xml:space="preserve">a sexual assault or other sex offense has been reported to a law enforcement agency;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physical evidence of the offense has been submitted to the agency or an accredited crime laboratory under this chapter for analysis;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agency documents that an offense has been committed and reported; and</w:t>
      </w:r>
    </w:p>
    <w:p w:rsidR="003F3435" w:rsidRDefault="0032493E">
      <w:pPr>
        <w:spacing w:line="480" w:lineRule="auto"/>
        <w:ind w:firstLine="2160"/>
        <w:jc w:val="both"/>
      </w:pPr>
      <w:r>
        <w:t xml:space="preserve">(B)</w:t>
      </w:r>
      <w:r xml:space="preserve">
        <w:t> </w:t>
      </w:r>
      <w:r xml:space="preserve">
        <w:t> </w:t>
      </w:r>
      <w:r>
        <w:t xml:space="preserve">for which:</w:t>
      </w:r>
    </w:p>
    <w:p w:rsidR="003F3435" w:rsidRDefault="0032493E">
      <w:pPr>
        <w:spacing w:line="480" w:lineRule="auto"/>
        <w:ind w:firstLine="2880"/>
        <w:jc w:val="both"/>
      </w:pPr>
      <w:r>
        <w:t xml:space="preserve">(i)</w:t>
      </w:r>
      <w:r xml:space="preserve">
        <w:t> </w:t>
      </w:r>
      <w:r xml:space="preserve">
        <w:t> </w:t>
      </w:r>
      <w:r>
        <w:t xml:space="preserve">the statute of limitations has not run with respect to the prosecution of the offense; or</w:t>
      </w:r>
    </w:p>
    <w:p w:rsidR="003F3435" w:rsidRDefault="0032493E">
      <w:pPr>
        <w:spacing w:line="480" w:lineRule="auto"/>
        <w:ind w:firstLine="2880"/>
        <w:jc w:val="both"/>
      </w:pPr>
      <w:r>
        <w:t xml:space="preserve">(ii)</w:t>
      </w:r>
      <w:r xml:space="preserve">
        <w:t> </w:t>
      </w:r>
      <w:r xml:space="preserve">
        <w:t> </w:t>
      </w:r>
      <w:r>
        <w:t xml:space="preserve">a DNA profile was obtained that is eligible under Section 420.043 for comparison with DNA profiles in the state database or CODIS DNA database.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420.034(a)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section, "evidence" means evidence collected during the investigation of </w:t>
      </w:r>
      <w:r>
        <w:rPr>
          <w:u w:val="single"/>
        </w:rPr>
        <w:t xml:space="preserve">a</w:t>
      </w:r>
      <w:r>
        <w:t xml:space="preserve"> [</w:t>
      </w:r>
      <w:r>
        <w:rPr>
          <w:strike/>
        </w:rPr>
        <w:t xml:space="preserve">an alleged</w:t>
      </w:r>
      <w:r>
        <w:t xml:space="preserve">] sexual assault or other sex offense, including:</w:t>
      </w:r>
    </w:p>
    <w:p w:rsidR="003F3435" w:rsidRDefault="0032493E">
      <w:pPr>
        <w:spacing w:line="480" w:lineRule="auto"/>
        <w:ind w:firstLine="1440"/>
        <w:jc w:val="both"/>
      </w:pPr>
      <w:r>
        <w:t xml:space="preserve">(1)</w:t>
      </w:r>
      <w:r xml:space="preserve">
        <w:t> </w:t>
      </w:r>
      <w:r xml:space="preserve">
        <w:t> </w:t>
      </w:r>
      <w:r>
        <w:t xml:space="preserve">evidence from an evidence collection kit used to collect and preserve evidence of a sexual assault or other sex offense; and</w:t>
      </w:r>
    </w:p>
    <w:p w:rsidR="003F3435" w:rsidRDefault="0032493E">
      <w:pPr>
        <w:spacing w:line="480" w:lineRule="auto"/>
        <w:ind w:firstLine="1440"/>
        <w:jc w:val="both"/>
      </w:pPr>
      <w:r>
        <w:t xml:space="preserve">(2)</w:t>
      </w:r>
      <w:r xml:space="preserve">
        <w:t> </w:t>
      </w:r>
      <w:r xml:space="preserve">
        <w:t> </w:t>
      </w:r>
      <w:r>
        <w:t xml:space="preserve">other biological evidence of a sexual assault or other sex offense.</w:t>
      </w:r>
    </w:p>
    <w:p w:rsidR="003F3435" w:rsidRDefault="0032493E">
      <w:pPr>
        <w:spacing w:line="480" w:lineRule="auto"/>
        <w:ind w:firstLine="720"/>
        <w:jc w:val="both"/>
      </w:pPr>
      <w:r>
        <w:t xml:space="preserve">(c)</w:t>
      </w:r>
      <w:r xml:space="preserve">
        <w:t> </w:t>
      </w:r>
      <w:r xml:space="preserve">
        <w:t> </w:t>
      </w:r>
      <w:r>
        <w:t xml:space="preserve">The tracking system must:</w:t>
      </w:r>
    </w:p>
    <w:p w:rsidR="003F3435" w:rsidRDefault="0032493E">
      <w:pPr>
        <w:spacing w:line="480" w:lineRule="auto"/>
        <w:ind w:firstLine="1440"/>
        <w:jc w:val="both"/>
      </w:pPr>
      <w:r>
        <w:t xml:space="preserve">(1)</w:t>
      </w:r>
      <w:r xml:space="preserve">
        <w:t> </w:t>
      </w:r>
      <w:r xml:space="preserve">
        <w:t> </w:t>
      </w:r>
      <w:r>
        <w:rPr>
          <w:u w:val="single"/>
        </w:rPr>
        <w:t xml:space="preserve">include the evidence collection kit and any other items collected during the forensic medical examination in relation to a sexual assault or other sex offense and submitted for a laboratory analysis that is necessary to identify the offender or offenders, regardless of whether the evidence is collected in relation to an individual who is alive or deceased;</w:t>
      </w:r>
    </w:p>
    <w:p w:rsidR="003F3435" w:rsidRDefault="0032493E">
      <w:pPr>
        <w:spacing w:line="480" w:lineRule="auto"/>
        <w:ind w:firstLine="1440"/>
        <w:jc w:val="both"/>
      </w:pPr>
      <w:r>
        <w:rPr>
          <w:u w:val="single"/>
        </w:rPr>
        <w:t xml:space="preserve">(2)</w:t>
      </w:r>
      <w:r xml:space="preserve">
        <w:t> </w:t>
      </w:r>
      <w:r xml:space="preserve">
        <w:t> </w:t>
      </w:r>
      <w:r>
        <w:t xml:space="preserve">track the location and status of each item of evidence through the criminal justice process, including the initial collection of the item of evidence in a forensic medical examination, receipt and storage of the item of evidence at a law enforcement agency, receipt and analysis of the item of evidence at an accredited crime laboratory, and storage and destruction of the item of evidence after the item is analyzed;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allow a facility or entity performing a forensic medical examination of a survivor, law enforcement agency, accredited crime laboratory, prosecutor, or other entity providing a chain of custody for an item of evidence to update and track the status and location of the item;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allow a survivor to anonymously track or receive updates regarding the status and location of each item of evidence collected in relation to the offense.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420.045, Government Code, is transferred to Section 420.034, Government Code, redesignated as Subsection (h), Section 420.034, Government Code, and amended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department</w:t>
      </w:r>
      <w:r>
        <w:t xml:space="preserve"> [</w:t>
      </w:r>
      <w:r>
        <w:rPr>
          <w:strike/>
        </w:rPr>
        <w:t xml:space="preserve">Sec. 420.045. REPORT OF UNANALYZED EVIDENCE OF SEXUAL ASSAULT OR OTHER SEX OFFENSE. Each law enforcement agency and public accredited crime laboratory</w:t>
      </w:r>
      <w:r>
        <w:t xml:space="preserve">] shall submit a [</w:t>
      </w:r>
      <w:r>
        <w:rPr>
          <w:strike/>
        </w:rPr>
        <w:t xml:space="preserve">quarterly</w:t>
      </w:r>
      <w:r>
        <w:t xml:space="preserve">] report to the </w:t>
      </w:r>
      <w:r>
        <w:rPr>
          <w:u w:val="single"/>
        </w:rPr>
        <w:t xml:space="preserve">governor, lieutenant governor, speaker of the house of representatives, and members of the legislature</w:t>
      </w:r>
      <w:r>
        <w:t xml:space="preserve"> [</w:t>
      </w:r>
      <w:r>
        <w:rPr>
          <w:strike/>
        </w:rPr>
        <w:t xml:space="preserve">department</w:t>
      </w:r>
      <w:r>
        <w:t xml:space="preserve">] identifying the number of evidence collection kits that </w:t>
      </w:r>
      <w:r>
        <w:rPr>
          <w:u w:val="single"/>
        </w:rPr>
        <w:t xml:space="preserve">have</w:t>
      </w:r>
      <w:r>
        <w:t xml:space="preserve"> [</w:t>
      </w:r>
      <w:r>
        <w:rPr>
          <w:strike/>
        </w:rPr>
        <w:t xml:space="preserve">the law enforcement agency has</w:t>
      </w:r>
      <w:r>
        <w:t xml:space="preserve">] not yet </w:t>
      </w:r>
      <w:r>
        <w:rPr>
          <w:u w:val="single"/>
        </w:rPr>
        <w:t xml:space="preserve">been</w:t>
      </w:r>
      <w:r>
        <w:t xml:space="preserve"> submitted for laboratory analysis or for which the [</w:t>
      </w:r>
      <w:r>
        <w:rPr>
          <w:strike/>
        </w:rPr>
        <w:t xml:space="preserve">crime</w:t>
      </w:r>
      <w:r>
        <w:t xml:space="preserve">] laboratory </w:t>
      </w:r>
      <w:r>
        <w:rPr>
          <w:u w:val="single"/>
        </w:rPr>
        <w:t xml:space="preserve">analysis</w:t>
      </w:r>
      <w:r>
        <w:t xml:space="preserve"> has not yet </w:t>
      </w:r>
      <w:r>
        <w:rPr>
          <w:u w:val="single"/>
        </w:rPr>
        <w:t xml:space="preserve">been</w:t>
      </w:r>
      <w:r>
        <w:t xml:space="preserve"> completed [</w:t>
      </w:r>
      <w:r>
        <w:rPr>
          <w:strike/>
        </w:rPr>
        <w:t xml:space="preserve">an analysis</w:t>
      </w:r>
      <w:r>
        <w:t xml:space="preserve">], as applicable. </w:t>
      </w:r>
      <w:r>
        <w:rPr>
          <w:u w:val="single"/>
        </w:rPr>
        <w:t xml:space="preserve">The annual report must be titled "Statewide Electronic Tracking System Report" and must be posted on the department's publicly accessible Internet website.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420.035(a), Government Code, as added by Chapter 408 (H.B. 8),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If a health care facility or other entity that performs a medical examination to collect evidence of a sexual assault or other sex offense receives signed, written consent to release the evidence as provided by Section 420.0735, the facility or entity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promptly notify any law enforcement agency investigating the [</w:t>
      </w:r>
      <w:r>
        <w:rPr>
          <w:strike/>
        </w:rPr>
        <w:t xml:space="preserve">alleged</w:t>
      </w:r>
      <w:r>
        <w:t xml:space="preserve">] offense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two business days after the date the examination is performed, enter the identification number of the evidence collection kit into the statewide electronic tracking system under Section 420.034</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420.042,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agency that fails to submit evidence of a sexual assault or other sex offense to a public accredited crime laboratory within the period required by this section shall provide to the department written documentation of the failure, including a detailed explanation for the failure. </w:t>
      </w:r>
      <w:r>
        <w:rPr>
          <w:u w:val="single"/>
        </w:rPr>
        <w:t xml:space="preserve"> </w:t>
      </w:r>
      <w:r>
        <w:rPr>
          <w:u w:val="single"/>
        </w:rPr>
        <w:t xml:space="preserve">The agency shall submit the documentation required by this subsection on or before the 30th day after the date on which the agency discovers that the evidence was not submitted within the period required by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420.046, Government Code, is amended to read as follows:</w:t>
      </w:r>
    </w:p>
    <w:p w:rsidR="003F3435" w:rsidRDefault="0032493E">
      <w:pPr>
        <w:spacing w:line="480" w:lineRule="auto"/>
        <w:ind w:firstLine="720"/>
        <w:jc w:val="both"/>
      </w:pPr>
      <w:r>
        <w:t xml:space="preserve">Sec.</w:t>
      </w:r>
      <w:r xml:space="preserve">
        <w:t> </w:t>
      </w:r>
      <w:r>
        <w:t xml:space="preserve">420.046.</w:t>
      </w:r>
      <w:r xml:space="preserve">
        <w:t> </w:t>
      </w:r>
      <w:r xml:space="preserve">
        <w:t> </w:t>
      </w:r>
      <w:r>
        <w:t xml:space="preserve">NONCOMPLIANCE.  Failure to comply with the requirements of </w:t>
      </w:r>
      <w:r>
        <w:rPr>
          <w:u w:val="single"/>
        </w:rPr>
        <w:t xml:space="preserve">Subchapter B or</w:t>
      </w:r>
      <w:r>
        <w:t xml:space="preserve"> this subchapter may be used to determine eligibility for receiving grant funds from the department, the office of the governor, or another state agency.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420.042(b), Government Code, is repealed.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changes in law made by this Act to Section 420.034(c), Government Code, and Section 420.035(a), Government Code, as added by Chapter 408 (H.B.</w:t>
      </w:r>
      <w:r xml:space="preserve">
        <w:t> </w:t>
      </w:r>
      <w:r>
        <w:t xml:space="preserve">8), Acts of the 86th Legislature, Regular Session, 2019, apply only to sexual assault evidence and evidence of other sex offenses collected on or after the effective date of this Act. Evidence collected before the effective date of this Act is governed by the law in effect on the date the evidence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420.042(g), Government Code, as added by this Act, applies to evidence of a sexual assault or other sex offense in possession of a law enforcement agency on or after the effective date of this Act.</w:t>
      </w:r>
    </w:p>
    <w:p w:rsidR="003F3435" w:rsidRDefault="0032493E">
      <w:pPr>
        <w:spacing w:line="480" w:lineRule="auto"/>
        <w:ind w:firstLine="720"/>
        <w:jc w:val="both"/>
      </w:pPr>
      <w:r>
        <w:t xml:space="preserve">Explanation: The addition is necessary to improve the tracking and analysis of evidence of a sexual assault or other sex offense and to ensure compliance with certain requirements imposed with respect to a sex offense or evidence of a sex offense.</w:t>
      </w:r>
    </w:p>
    <w:p w:rsidR="003F3435" w:rsidRDefault="0032493E">
      <w:pPr>
        <w:spacing w:line="480" w:lineRule="auto"/>
        <w:ind w:firstLine="720"/>
        <w:jc w:val="both"/>
      </w:pPr>
      <w:r>
        <w:t xml:space="preserve">(2)</w:t>
      </w:r>
      <w:r xml:space="preserve">
        <w:t> </w:t>
      </w:r>
      <w:r xml:space="preserve">
        <w:t> </w:t>
      </w:r>
      <w:r>
        <w:t xml:space="preserve">Senate Rules 12.03(1) and (3) are suspended to permit the committee to change, alter, or amend text and to add text on a matter not in disagreement in proposed SECTION 19 of the bill, a transition provision for the bill, to read as follows: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changes in law made by this Act to Chapters 56A and 56B, Code of Criminal Procedure,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Explanation: The change in the provision is necessary to specify a transition for amended Articles 56A.052, 56A.251, 56A.252, 56A.302, 56A.303, 56A.304, 56A.307, and 56B.453, Code of Criminal Procedure, and added Articles 56A.2505 and 56A.2506, Code of Criminal Procedure, in the bill.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