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S.R.</w:t>
      </w:r>
      <w:r xml:space="preserve">
        <w:t> </w:t>
      </w:r>
      <w:r>
        <w:t xml:space="preserve">No.</w:t>
      </w:r>
      <w:r xml:space="preserve">
        <w:t> </w:t>
      </w:r>
      <w:r>
        <w:t xml:space="preserve">562</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87th Legislature, Regular Session, 2021, That Senate Rule 12.03 be suspended in part as provided by Senate Rule 12.08 to enable the conference committee appointed to resolve the differences on Senate Bill 3 (preparing for, preventing, and responding to weather emergencies and power outages; increasing the amount of administrative and civil penalties) to consider and take action on the following matter:</w:t>
      </w:r>
    </w:p>
    <w:p w:rsidR="003F3435" w:rsidRDefault="0032493E">
      <w:pPr>
        <w:spacing w:line="480" w:lineRule="auto"/>
        <w:ind w:firstLine="720"/>
        <w:jc w:val="both"/>
      </w:pPr>
      <w:r>
        <w:t xml:space="preserve">(1)</w:t>
      </w:r>
      <w:r xml:space="preserve">
        <w:t> </w:t>
      </w:r>
      <w:r xml:space="preserve">
        <w:t> </w:t>
      </w:r>
      <w:r>
        <w:t xml:space="preserve">Senate Rule 12.03(2) is suspended to permit the committee to omit text not in disagreement by omitting proposed Sections 39.110(a) and (b), Utilities Code. The omitted text prohibited the offering of certain wholesale indexed electric products to residential or small commercial customers. The omitted text reads: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aggregator, a broker, or a retail electric provider may not offer a wholesale indexed product to a residential or small commercial customer.</w:t>
      </w:r>
    </w:p>
    <w:p w:rsidR="003F3435" w:rsidRDefault="0032493E">
      <w:pPr>
        <w:spacing w:line="480" w:lineRule="auto"/>
        <w:ind w:firstLine="720"/>
        <w:jc w:val="both"/>
      </w:pPr>
      <w:r>
        <w:t xml:space="preserve">Explanation:  The omission of the text is necessary to remove the prohibition of the offering of certain wholesale indexed electric products to residential or small commercial customers.</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proposed SECTION 37 of the bill:</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Texas Electricity Supply Chain Security and Mapping Committee shall produce the map required under Section 38.203, Utilities Code, as added by this Act, not later than September 1, 2022.</w:t>
      </w:r>
    </w:p>
    <w:p w:rsidR="003F3435" w:rsidRDefault="0032493E">
      <w:pPr>
        <w:spacing w:line="480" w:lineRule="auto"/>
        <w:ind w:firstLine="720"/>
        <w:jc w:val="both"/>
      </w:pPr>
      <w:r>
        <w:t xml:space="preserve">Explanation:  The addition of the text is necessary to require the Texas Electricity Supply Chain Security and Mapping Committee to produce the map required under added Section 38.203, Utilities Code, not later than September 1, 2022.</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w:t>
      </w:r>
      <w:r xml:space="preserve">
        <w:t> </w:t>
      </w:r>
      <w:r>
        <w:t xml:space="preserve">30,</w:t>
      </w:r>
      <w:r xml:space="preserve">
        <w:t> </w:t>
      </w:r>
      <w:r>
        <w:t xml:space="preserve">2021,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3 (Schwertner/Paddie)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