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87R30558 KJE-D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2030 (Turner of Tarrant/West)</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563</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87th Legislature, Regular Session, 2021, That Senate Rule 12.03 be suspended in part as provided by Senate Rule 12.08 to enable the conference committee appointed to resolve the differences on House Bill 2030 (certain grant programs, scholarships, and initiatives administered by the Texas Higher Education Coordinating Board)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 of ROTC training for each year that the student receives the scholarship, up to a maximum requirement of</w:t>
      </w:r>
      <w:r>
        <w:t xml:space="preserve"> four years of ROTC training</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61.9773(a), Education Code, as amended by this Act, applies beginning with a Texas Armed Services Scholarship awarded for the 2022-2023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Explanation: This change is necessary to require students who receive a scholarship under the Texas Armed Services Scholarship Program to complete a certain number of years of ROTC training and to require the Texas Higher Education Coordinating Board to provide notice to those students of certain information regarding ROTC training.</w:t>
      </w:r>
    </w:p>
    <w:p w:rsidR="003F3435" w:rsidRDefault="0032493E">
      <w:pPr>
        <w:spacing w:line="480" w:lineRule="auto"/>
        <w:ind w:firstLine="720"/>
        <w:jc w:val="both"/>
      </w:pPr>
      <w:r>
        <w:t xml:space="preserve">(2)</w:t>
      </w:r>
      <w:r xml:space="preserve">
        <w:t> </w:t>
      </w:r>
      <w:r xml:space="preserve">
        <w:t> </w:t>
      </w:r>
      <w:r>
        <w:t xml:space="preserve">Senate Rule 12.03(4) is suspended to permit the committee to add text on a matter not included in either the house or senate version of the bill by adding the following SECTION to the bill: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61, Education Code, is amended by adding Subchapter OO to read as follows:</w:t>
      </w:r>
    </w:p>
    <w:p w:rsidR="003F3435" w:rsidRDefault="0032493E">
      <w:pPr>
        <w:spacing w:line="480" w:lineRule="auto"/>
        <w:jc w:val="center"/>
      </w:pPr>
      <w:r>
        <w:rPr>
          <w:u w:val="single"/>
        </w:rPr>
        <w:t xml:space="preserve">SUBCHAPTER OO.  TEXAS BRAIN UNIVERSITY RESEARCH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board" means the Texas brain university research initiative advisory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"Distinguished researcher" means a researcher who is an expert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causes of and prevention, treatment, rehabilitation, and cures for brain-related diseases, syndromes, disorders, dysfunction, injuries, developmental issues, neurological health issues, mental and behavioral health issues, and substance abuse disorders and other addictions;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area impacting the brain, including an area that directly or indirectly impacts or is impacted by the brain or brain health, such as the gut microbiome, nutrition, and the spinal cord or nervous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 a general academic teaching institution, a health-related institution, a nonprofit research institution, and a private or independent college or university located in this state and accredited by a recognized accrediting agency. The term includes a historically black college or university.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"Fund" means the Texas brain university research initiative fund established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"Health-related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medical and dental unit and any other public health science center, public medical school, or public dental school established by statute or in accordance with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medical, dental, or public health college or university located in this state and accredited by a recognized accrediting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61.9972.</w:t>
      </w:r>
      <w:r>
        <w:rPr>
          <w:u w:val="single"/>
        </w:rPr>
        <w:t xml:space="preserve"> </w:t>
      </w:r>
      <w:r>
        <w:rPr>
          <w:u w:val="single"/>
        </w:rPr>
        <w:t xml:space="preserve"> </w:t>
      </w:r>
      <w:r>
        <w:rPr>
          <w:u w:val="single"/>
        </w:rPr>
        <w:t xml:space="preserve">ADMINISTRATION OF INITIATIVE.  (a)  The Texas brain university research initiative is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Texas brain university research initiative fund, the board shall award matching grants to assist eligible institutions in recruiting distinguished researchers.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adopt any rules the board considers necessary to administer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61.9973.</w:t>
      </w:r>
      <w:r>
        <w:rPr>
          <w:u w:val="single"/>
        </w:rPr>
        <w:t xml:space="preserve"> </w:t>
      </w:r>
      <w:r>
        <w:rPr>
          <w:u w:val="single"/>
        </w:rPr>
        <w:t xml:space="preserve"> </w:t>
      </w:r>
      <w:r>
        <w:rPr>
          <w:u w:val="single"/>
        </w:rPr>
        <w:t xml:space="preserve">MATCHING GRANTS.  (a)  An eligible institution may apply to the board for a matching grant from the fund.  The board may only consider grant applications that are recommended to the board by the advisory board.  If the board approves a grant application, the board shall award to the applicant institution a grant amount equal to the amount committed by the institution for the recruitment of a distinguished researcher, except as provided by Subsection (c)(2).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application must identify the source and amount of the eligible institution's matching funds and must demonstrate that the proposed use of the grant has the support of the institution's president.  An applicant eligible institution may commit for matching purposes any funds of the institution available for that purpose other than appropriated general revenue.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set one or more deadlines for grant applications for each state fiscal year.  After fully funding approved grant applications received during an application period for a state fiscal year, the board may reopen applications for that year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the full amount of matching funds from the fund for new applications;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 previously disapproved applications submitted before the original application deadline for receipt of a reduced grant amount.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matching grant received by an eligible institution under this subchapter may not be considered as a basis to reduce, directly or indirectly, the amount of money otherwise appropriated to the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matching grant may not be used by an eligible institution to recruit a distinguished researcher or other employee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eligible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require an application and all supporting documentation to be submitted to the board electronically in the manner prescribed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61.9974.</w:t>
      </w:r>
      <w:r>
        <w:rPr>
          <w:u w:val="single"/>
        </w:rPr>
        <w:t xml:space="preserve"> </w:t>
      </w:r>
      <w:r>
        <w:rPr>
          <w:u w:val="single"/>
        </w:rPr>
        <w:t xml:space="preserve"> </w:t>
      </w:r>
      <w:r>
        <w:rPr>
          <w:u w:val="single"/>
        </w:rPr>
        <w:t xml:space="preserve">GRANT AWARD CRITERIA; PRIORITIES.  (a)  In awarding grants, the board shall give priority to proposals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involve the recruitment of distinguished researchers, including researchers who study mental and behavioral health issues arising from the COVID-19 pandemic;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a reasonable likelihood of contributing substantially to this state's national and global economic competitiveness.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proposal must include a description of the distinguished researcher or researchers the grant applicant is recruiting and the research field of the distinguished researcher or researchers, and may include a sample list of potential distinguished researcher targets.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61.9975.</w:t>
      </w:r>
      <w:r>
        <w:rPr>
          <w:u w:val="single"/>
        </w:rPr>
        <w:t xml:space="preserve"> </w:t>
      </w:r>
      <w:r>
        <w:rPr>
          <w:u w:val="single"/>
        </w:rPr>
        <w:t xml:space="preserve"> </w:t>
      </w:r>
      <w:r>
        <w:rPr>
          <w:u w:val="single"/>
        </w:rPr>
        <w:t xml:space="preserve">TEXAS BRAIN UNIVERSITY RESEARCH INITIATIVE FUND.  (a)  The Texas brain university research initiative fund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appropriated or otherwise allocated or transferred by law to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other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be used by the board only for the purposes of this subchapter, including for necessary expenses incurred in the administration of the fund and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61.9976.</w:t>
      </w:r>
      <w:r>
        <w:rPr>
          <w:u w:val="single"/>
        </w:rPr>
        <w:t xml:space="preserve"> </w:t>
      </w:r>
      <w:r>
        <w:rPr>
          <w:u w:val="single"/>
        </w:rPr>
        <w:t xml:space="preserve"> </w:t>
      </w:r>
      <w:r>
        <w:rPr>
          <w:u w:val="single"/>
        </w:rPr>
        <w:t xml:space="preserve">CONFIDENTIALITY.  Information collected or obtained by the board or the advisory board concerning the identity of a particular distinguished researcher who is the subject of a grant proposal under this subchapter is confidential unless the researcher and the applicant eligible institution consent to disclosure of the information.  The information remains confidential until the date, if any, on which the researcher enters into an employment relationship with the recruiting institution as contemplated in the grant proposal.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61.9977.</w:t>
      </w:r>
      <w:r>
        <w:rPr>
          <w:u w:val="single"/>
        </w:rPr>
        <w:t xml:space="preserve"> </w:t>
      </w:r>
      <w:r>
        <w:rPr>
          <w:u w:val="single"/>
        </w:rPr>
        <w:t xml:space="preserve"> </w:t>
      </w:r>
      <w:r>
        <w:rPr>
          <w:u w:val="single"/>
        </w:rPr>
        <w:t xml:space="preserve">ADVISORY BOARD.  (a)  The Texas brain university research initiative advisory board is established to assist the board with the review and evaluation of applications for funding of grant proposals under this subchapter.  The advisory board shall make recommendations to the board for approval or disapproval of those applications.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must be composed of at least nine members appointed by the governor.  Of the members of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one-third of the members, as nearly as possible, must have a background in finance;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one-third of the members, as nearly as possible, must have an academic background in science, medicine, or brain health;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one-third of the members, as nearly as possible, must be public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Government Code, does not apply to the size, composition, or duration of the advisory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advisory board who is or has been employed by, is or has been a party to a contract for any purpose with, or is a student or former student of an applicant eligible institution may not be involved in the review, evaluation, or recommendation of a grant proposal made by that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advisory board member is not required to be a resident of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of the advisory board serve without compensation but are entitled to reimbursement for actual and necessary expenses in attending meetings of the advisory board or performing other official duties authorized by the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board shall develop a research plan to foster synergistic investigation into brain health and research by eligible institutions.</w:t>
      </w:r>
    </w:p>
    <w:p w:rsidR="003F3435" w:rsidRDefault="0032493E">
      <w:pPr>
        <w:spacing w:line="480" w:lineRule="auto"/>
        <w:ind w:firstLine="720"/>
        <w:jc w:val="both"/>
      </w:pPr>
      <w:r>
        <w:t xml:space="preserve">Explanation: This change is necessary to provide for the creation of the Texas brain university research initiative.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