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96D9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C1218">
            <w:pPr>
              <w:ind w:left="650"/>
              <w:jc w:val="center"/>
            </w:pPr>
            <w:r>
              <w:rPr>
                <w:b/>
              </w:rPr>
              <w:t>House Bill  492</w:t>
            </w:r>
          </w:p>
          <w:p w:rsidR="004C1218">
            <w:pPr>
              <w:ind w:left="650"/>
              <w:jc w:val="center"/>
            </w:pPr>
            <w:r>
              <w:t>Senate Amendments</w:t>
            </w:r>
          </w:p>
          <w:p w:rsidR="004C1218">
            <w:pPr>
              <w:ind w:left="650"/>
              <w:jc w:val="center"/>
            </w:pPr>
            <w:r>
              <w:t>Section-by-Section Analysis</w:t>
            </w:r>
          </w:p>
          <w:p w:rsidR="004C1218">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C1218">
            <w:pPr>
              <w:jc w:val="center"/>
            </w:pPr>
            <w:r>
              <w:t>HOUSE VERSION</w:t>
            </w:r>
          </w:p>
        </w:tc>
        <w:tc>
          <w:tcPr>
            <w:tcW w:w="1667" w:type="pct"/>
            <w:tcMar>
              <w:bottom w:w="188" w:type="dxa"/>
              <w:right w:w="0" w:type="dxa"/>
            </w:tcMar>
          </w:tcPr>
          <w:p w:rsidR="004C1218">
            <w:pPr>
              <w:jc w:val="center"/>
            </w:pPr>
            <w:r>
              <w:t>SENATE VERSION (IE)</w:t>
            </w:r>
          </w:p>
        </w:tc>
        <w:tc>
          <w:tcPr>
            <w:tcW w:w="1667" w:type="pct"/>
            <w:tcMar>
              <w:bottom w:w="188" w:type="dxa"/>
              <w:right w:w="0" w:type="dxa"/>
            </w:tcMar>
          </w:tcPr>
          <w:p w:rsidR="004C1218">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C1218">
            <w:pPr>
              <w:jc w:val="both"/>
            </w:pPr>
            <w:r>
              <w:t>SECTION 1.  Chapter 15, Code of Criminal Procedure, is amended by adding Article 15.251 to read as follows:</w:t>
            </w:r>
          </w:p>
          <w:p w:rsidR="004C1218">
            <w:pPr>
              <w:jc w:val="both"/>
            </w:pPr>
            <w:r>
              <w:rPr>
                <w:u w:val="single"/>
              </w:rPr>
              <w:t>Art. 15.251.  NO-KNOCK WARRANT.  (a)  In this article, "no-knock entry" means a peace officer's entry, for the purpose of executing a warrant, into a building or other place without giving notice of the officer's authority or purpose before entering.</w:t>
            </w:r>
          </w:p>
          <w:p w:rsidR="004C1218">
            <w:pPr>
              <w:jc w:val="both"/>
              <w:rPr>
                <w:u w:val="single"/>
              </w:rPr>
            </w:pPr>
            <w:r>
              <w:rPr>
                <w:u w:val="single"/>
              </w:rPr>
              <w:t xml:space="preserve">(b)  </w:t>
            </w:r>
            <w:r w:rsidRPr="00E96D98">
              <w:rPr>
                <w:highlight w:val="lightGray"/>
                <w:u w:val="single"/>
              </w:rPr>
              <w:t>Except as provided by Subsection (c), a magistrate may not</w:t>
            </w:r>
            <w:r>
              <w:rPr>
                <w:u w:val="single"/>
              </w:rPr>
              <w:t xml:space="preserve"> issue a warrant under this chapter that authorizes a no-knock entry.</w:t>
            </w: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pPr>
          </w:p>
          <w:p w:rsidR="004C1218">
            <w:pPr>
              <w:jc w:val="both"/>
            </w:pPr>
            <w:r>
              <w:rPr>
                <w:u w:val="single"/>
              </w:rPr>
              <w:t xml:space="preserve">(c)  </w:t>
            </w:r>
            <w:r w:rsidRPr="00E96D98">
              <w:rPr>
                <w:u w:val="single"/>
              </w:rPr>
              <w:t xml:space="preserve">A </w:t>
            </w:r>
            <w:r w:rsidRPr="00E96D98">
              <w:rPr>
                <w:highlight w:val="lightGray"/>
                <w:u w:val="single"/>
              </w:rPr>
              <w:t>district court judge or statutory county court judge</w:t>
            </w:r>
            <w:r>
              <w:rPr>
                <w:u w:val="single"/>
              </w:rPr>
              <w:t xml:space="preserve"> may issue a warrant under this chapter that authorizes a no-knock entry only if:</w:t>
            </w:r>
          </w:p>
          <w:p w:rsidR="004C1218">
            <w:pPr>
              <w:jc w:val="both"/>
            </w:pPr>
            <w:r>
              <w:rPr>
                <w:u w:val="single"/>
              </w:rPr>
              <w:t>(1)  the complaint is submitted concurrently with a statement, signed by the chief administrator of the law enforcement agency employing the affiant or by the chief administrator's designee</w:t>
            </w:r>
            <w:r w:rsidRPr="00E96D98">
              <w:rPr>
                <w:highlight w:val="lightGray"/>
                <w:u w:val="single"/>
              </w:rPr>
              <w:t xml:space="preserve">, that a no-knock entry is necessary to avoid the risk of death or serious bodily injury to peace officers and to </w:t>
            </w:r>
            <w:r w:rsidRPr="00E96D98">
              <w:rPr>
                <w:highlight w:val="lightGray"/>
                <w:u w:val="single"/>
              </w:rPr>
              <w:t>others</w:t>
            </w:r>
            <w:r>
              <w:rPr>
                <w:u w:val="single"/>
              </w:rPr>
              <w:t>; and</w:t>
            </w:r>
          </w:p>
          <w:p w:rsidR="004C1218">
            <w:pPr>
              <w:jc w:val="both"/>
            </w:pPr>
            <w:r>
              <w:rPr>
                <w:u w:val="single"/>
              </w:rPr>
              <w:t>(2)  the warrant requires:</w:t>
            </w:r>
          </w:p>
          <w:p w:rsidR="004C1218" w:rsidRPr="00E96D98">
            <w:pPr>
              <w:jc w:val="both"/>
              <w:rPr>
                <w:highlight w:val="lightGray"/>
              </w:rPr>
            </w:pPr>
            <w:r>
              <w:rPr>
                <w:u w:val="single"/>
              </w:rPr>
              <w:t xml:space="preserve">(A)  each peace officer executing the warrant </w:t>
            </w:r>
            <w:r w:rsidRPr="00982117">
              <w:rPr>
                <w:highlight w:val="lightGray"/>
                <w:u w:val="single"/>
              </w:rPr>
              <w:t>to</w:t>
            </w:r>
            <w:r>
              <w:rPr>
                <w:u w:val="single"/>
              </w:rPr>
              <w:t xml:space="preserve"> be in uniform or otherwise clearly identifiable as a peace officer</w:t>
            </w:r>
            <w:r w:rsidRPr="00E96D98">
              <w:rPr>
                <w:highlight w:val="lightGray"/>
                <w:u w:val="single"/>
              </w:rPr>
              <w:t>; and</w:t>
            </w:r>
          </w:p>
          <w:p w:rsidR="004C1218" w:rsidRPr="00E96D98">
            <w:pPr>
              <w:jc w:val="both"/>
              <w:rPr>
                <w:highlight w:val="lightGray"/>
              </w:rPr>
            </w:pPr>
            <w:r w:rsidRPr="00E96D98">
              <w:rPr>
                <w:highlight w:val="lightGray"/>
                <w:u w:val="single"/>
              </w:rPr>
              <w:t>(B)  to the extent that the law enforcement agency has the technology available, that the agency make a good faith effort to have each peace officer executing the warrant be equipped with a body worn camera.</w:t>
            </w:r>
          </w:p>
          <w:p w:rsidR="004C1218">
            <w:pPr>
              <w:jc w:val="both"/>
            </w:pPr>
            <w:r w:rsidRPr="00E96D98">
              <w:rPr>
                <w:highlight w:val="lightGray"/>
                <w:u w:val="single"/>
              </w:rPr>
              <w:t>(d)  A person designated by a chief administrator under Subsection (c)(1) must be a peace officer who reports directly to the chief administrator</w:t>
            </w:r>
            <w:r w:rsidRPr="00E96D98">
              <w:rPr>
                <w:u w:val="single"/>
              </w:rPr>
              <w:t>.</w:t>
            </w:r>
          </w:p>
        </w:tc>
        <w:tc>
          <w:tcPr>
            <w:tcW w:w="6480" w:type="dxa"/>
          </w:tcPr>
          <w:p w:rsidR="004C1218">
            <w:pPr>
              <w:jc w:val="both"/>
            </w:pPr>
            <w:r>
              <w:t>SECTION 1.  Chapter 15, Code of Criminal Procedure, is amended by adding Article 15.251 to read as follows:</w:t>
            </w:r>
          </w:p>
          <w:p w:rsidR="004C1218">
            <w:pPr>
              <w:jc w:val="both"/>
            </w:pPr>
            <w:r>
              <w:rPr>
                <w:u w:val="single"/>
              </w:rPr>
              <w:t>Art. 15.251.  NO-KNOCK WARRANT.  (a)  In this article, "no-knock entry" means a peace officer's entry, for the purpose of executing a warrant, into a building or other place without giving notice of the officer's authority or purpose before entering.</w:t>
            </w:r>
          </w:p>
          <w:p w:rsidR="004C1218">
            <w:pPr>
              <w:jc w:val="both"/>
            </w:pPr>
            <w:r>
              <w:rPr>
                <w:u w:val="single"/>
              </w:rPr>
              <w:t xml:space="preserve">(b)  </w:t>
            </w:r>
            <w:r w:rsidRPr="00E96D98">
              <w:rPr>
                <w:highlight w:val="lightGray"/>
                <w:u w:val="single"/>
              </w:rPr>
              <w:t>Notwithstanding any other law, only the following magistrates may</w:t>
            </w:r>
            <w:r>
              <w:rPr>
                <w:u w:val="single"/>
              </w:rPr>
              <w:t xml:space="preserve"> issue a warrant under this chapter that authorizes a no-knock entry</w:t>
            </w:r>
            <w:r w:rsidRPr="00E96D98">
              <w:rPr>
                <w:highlight w:val="lightGray"/>
                <w:u w:val="single"/>
              </w:rPr>
              <w:t>:</w:t>
            </w:r>
          </w:p>
          <w:p w:rsidR="004C1218" w:rsidRPr="00E96D98">
            <w:pPr>
              <w:jc w:val="both"/>
              <w:rPr>
                <w:highlight w:val="lightGray"/>
              </w:rPr>
            </w:pPr>
            <w:r w:rsidRPr="00E96D98">
              <w:rPr>
                <w:highlight w:val="lightGray"/>
                <w:u w:val="single"/>
              </w:rPr>
              <w:t>(1)  a district court judge;</w:t>
            </w:r>
          </w:p>
          <w:p w:rsidR="004C1218" w:rsidRPr="00E96D98">
            <w:pPr>
              <w:jc w:val="both"/>
              <w:rPr>
                <w:highlight w:val="lightGray"/>
              </w:rPr>
            </w:pPr>
            <w:r w:rsidRPr="00E96D98">
              <w:rPr>
                <w:highlight w:val="lightGray"/>
                <w:u w:val="single"/>
              </w:rPr>
              <w:t>(2)  a statutory county court judge;</w:t>
            </w:r>
          </w:p>
          <w:p w:rsidR="004C1218" w:rsidRPr="00E96D98">
            <w:pPr>
              <w:jc w:val="both"/>
              <w:rPr>
                <w:highlight w:val="lightGray"/>
              </w:rPr>
            </w:pPr>
            <w:r w:rsidRPr="00E96D98">
              <w:rPr>
                <w:highlight w:val="lightGray"/>
                <w:u w:val="single"/>
              </w:rPr>
              <w:t>(3)  a judge of a county court who is an attorney licensed by this state;</w:t>
            </w:r>
          </w:p>
          <w:p w:rsidR="004C1218" w:rsidRPr="00E96D98">
            <w:pPr>
              <w:jc w:val="both"/>
              <w:rPr>
                <w:highlight w:val="lightGray"/>
              </w:rPr>
            </w:pPr>
            <w:r w:rsidRPr="00E96D98">
              <w:rPr>
                <w:highlight w:val="lightGray"/>
                <w:u w:val="single"/>
              </w:rPr>
              <w:t>(4)  a judge of a municipal court of record who is an attorney licensed by this state; or</w:t>
            </w:r>
          </w:p>
          <w:p w:rsidR="004C1218" w:rsidRPr="00E96D98">
            <w:pPr>
              <w:jc w:val="both"/>
              <w:rPr>
                <w:highlight w:val="lightGray"/>
              </w:rPr>
            </w:pPr>
            <w:r w:rsidRPr="00E96D98">
              <w:rPr>
                <w:highlight w:val="lightGray"/>
                <w:u w:val="single"/>
              </w:rPr>
              <w:t>(5)  any magistrate if the county in which the warrant is issued does not have:</w:t>
            </w:r>
          </w:p>
          <w:p w:rsidR="004C1218" w:rsidRPr="00E96D98">
            <w:pPr>
              <w:jc w:val="both"/>
              <w:rPr>
                <w:highlight w:val="lightGray"/>
              </w:rPr>
            </w:pPr>
            <w:r w:rsidRPr="00E96D98">
              <w:rPr>
                <w:highlight w:val="lightGray"/>
                <w:u w:val="single"/>
              </w:rPr>
              <w:t>(A)  a municipal court of record with a courtroom located in that county and a judge who is an attorney licensed by this state;</w:t>
            </w:r>
          </w:p>
          <w:p w:rsidR="004C1218" w:rsidRPr="00E96D98">
            <w:pPr>
              <w:jc w:val="both"/>
              <w:rPr>
                <w:highlight w:val="lightGray"/>
              </w:rPr>
            </w:pPr>
            <w:r w:rsidRPr="00E96D98">
              <w:rPr>
                <w:highlight w:val="lightGray"/>
                <w:u w:val="single"/>
              </w:rPr>
              <w:t>(B)  a county court judge who is an attorney licensed by this state; or</w:t>
            </w:r>
          </w:p>
          <w:p w:rsidR="004C1218">
            <w:pPr>
              <w:jc w:val="both"/>
            </w:pPr>
            <w:r w:rsidRPr="00E96D98">
              <w:rPr>
                <w:highlight w:val="lightGray"/>
                <w:u w:val="single"/>
              </w:rPr>
              <w:t>(C)  a statutory county court judge</w:t>
            </w:r>
            <w:r w:rsidRPr="00E96D98">
              <w:rPr>
                <w:u w:val="single"/>
              </w:rPr>
              <w:t>.</w:t>
            </w:r>
          </w:p>
          <w:p w:rsidR="004C1218">
            <w:pPr>
              <w:jc w:val="both"/>
            </w:pPr>
            <w:r>
              <w:rPr>
                <w:u w:val="single"/>
              </w:rPr>
              <w:t xml:space="preserve">(c)  A </w:t>
            </w:r>
            <w:r w:rsidRPr="00E96D98">
              <w:rPr>
                <w:highlight w:val="lightGray"/>
                <w:u w:val="single"/>
              </w:rPr>
              <w:t>magistrate</w:t>
            </w:r>
            <w:r>
              <w:rPr>
                <w:u w:val="single"/>
              </w:rPr>
              <w:t xml:space="preserve"> may issue a warrant under this chapter that authorizes a no-knock entry only if:</w:t>
            </w:r>
            <w:r>
              <w:t xml:space="preserve">  [FA1(1)]</w:t>
            </w:r>
          </w:p>
          <w:p w:rsidR="00E96D98">
            <w:pPr>
              <w:jc w:val="both"/>
            </w:pPr>
          </w:p>
          <w:p w:rsidR="004C1218">
            <w:pPr>
              <w:jc w:val="both"/>
            </w:pPr>
            <w:r>
              <w:rPr>
                <w:u w:val="single"/>
              </w:rPr>
              <w:t xml:space="preserve">(1) the complaint is submitted concurrently with a statement </w:t>
            </w:r>
            <w:r w:rsidRPr="00E96D98">
              <w:rPr>
                <w:highlight w:val="lightGray"/>
                <w:u w:val="single"/>
              </w:rPr>
              <w:t>that approves the use of a no-knock entry and that is</w:t>
            </w:r>
            <w:r>
              <w:rPr>
                <w:u w:val="single"/>
              </w:rPr>
              <w:t xml:space="preserve"> signed by the chief administrator of the law enforcement agency employing the affiant or by the chief administrator's designee; and</w:t>
            </w:r>
            <w:r>
              <w:t xml:space="preserve">  [FA1(1)-(2)]</w:t>
            </w:r>
          </w:p>
          <w:p w:rsidR="00E96D98">
            <w:pPr>
              <w:jc w:val="both"/>
            </w:pPr>
          </w:p>
          <w:p w:rsidR="004C1218">
            <w:pPr>
              <w:jc w:val="both"/>
            </w:pPr>
            <w:r>
              <w:rPr>
                <w:u w:val="single"/>
              </w:rPr>
              <w:t xml:space="preserve">(2) the warrant requires </w:t>
            </w:r>
            <w:r w:rsidRPr="00E96D98">
              <w:rPr>
                <w:highlight w:val="lightGray"/>
                <w:u w:val="single"/>
              </w:rPr>
              <w:t>that</w:t>
            </w:r>
            <w:r>
              <w:rPr>
                <w:u w:val="single"/>
              </w:rPr>
              <w:t xml:space="preserve"> each peace officer executing the warrant be in uniform or otherwise clearly identifiable as a peace officer.</w:t>
            </w:r>
            <w:r>
              <w:t xml:space="preserve">  [FA1(2)]</w:t>
            </w:r>
          </w:p>
          <w:p w:rsidR="004C1218">
            <w:pPr>
              <w:jc w:val="both"/>
            </w:pPr>
          </w:p>
        </w:tc>
        <w:tc>
          <w:tcPr>
            <w:tcW w:w="5760" w:type="dxa"/>
          </w:tcPr>
          <w:p w:rsidR="004C1218">
            <w:pPr>
              <w:jc w:val="both"/>
            </w:pPr>
          </w:p>
        </w:tc>
      </w:tr>
      <w:tr>
        <w:tblPrEx>
          <w:tblW w:w="4820" w:type="pct"/>
          <w:tblInd w:w="6" w:type="dxa"/>
          <w:tblLayout w:type="fixed"/>
          <w:tblCellMar>
            <w:left w:w="0" w:type="dxa"/>
            <w:bottom w:w="288" w:type="dxa"/>
            <w:right w:w="720" w:type="dxa"/>
          </w:tblCellMar>
          <w:tblLook w:val="01E0"/>
        </w:tblPrEx>
        <w:tc>
          <w:tcPr>
            <w:tcW w:w="6473" w:type="dxa"/>
          </w:tcPr>
          <w:p w:rsidR="004C1218">
            <w:pPr>
              <w:jc w:val="both"/>
            </w:pPr>
            <w:r>
              <w:t>SECTION 2.  Chapter 18, Code of Criminal Procedure, is amended by adding Article 18.025 to read as follows:</w:t>
            </w:r>
          </w:p>
          <w:p w:rsidR="004C1218">
            <w:pPr>
              <w:jc w:val="both"/>
            </w:pPr>
            <w:r>
              <w:rPr>
                <w:u w:val="single"/>
              </w:rPr>
              <w:t>Art. 18.025.  NO-KNOCK WARRANT.  (a)  In this article, "no-knock entry" has the meaning assigned by Article 15.251.</w:t>
            </w:r>
          </w:p>
          <w:p w:rsidR="004C1218">
            <w:pPr>
              <w:jc w:val="both"/>
              <w:rPr>
                <w:u w:val="single"/>
              </w:rPr>
            </w:pPr>
            <w:r>
              <w:rPr>
                <w:u w:val="single"/>
              </w:rPr>
              <w:t xml:space="preserve">(b)  </w:t>
            </w:r>
            <w:r w:rsidRPr="00E96D98">
              <w:rPr>
                <w:highlight w:val="lightGray"/>
                <w:u w:val="single"/>
              </w:rPr>
              <w:t>Except as provided by Subsection (c), a magistrate may not</w:t>
            </w:r>
            <w:r>
              <w:rPr>
                <w:u w:val="single"/>
              </w:rPr>
              <w:t xml:space="preserve"> issue a warrant under this chapter that authorizes a no-knock entry.</w:t>
            </w: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rPr>
                <w:u w:val="single"/>
              </w:rPr>
            </w:pPr>
          </w:p>
          <w:p w:rsidR="00E96D98">
            <w:pPr>
              <w:jc w:val="both"/>
            </w:pPr>
          </w:p>
          <w:p w:rsidR="004C1218">
            <w:pPr>
              <w:jc w:val="both"/>
            </w:pPr>
            <w:r>
              <w:rPr>
                <w:u w:val="single"/>
              </w:rPr>
              <w:t xml:space="preserve">(c)  A </w:t>
            </w:r>
            <w:r w:rsidRPr="00F93DFB">
              <w:rPr>
                <w:highlight w:val="lightGray"/>
                <w:u w:val="single"/>
              </w:rPr>
              <w:t>district court judge or statutory county court judge</w:t>
            </w:r>
            <w:r>
              <w:rPr>
                <w:u w:val="single"/>
              </w:rPr>
              <w:t xml:space="preserve"> may issue a warrant under this chapter that authorizes a no-knock entry only if:</w:t>
            </w:r>
          </w:p>
          <w:p w:rsidR="004C1218">
            <w:pPr>
              <w:jc w:val="both"/>
            </w:pPr>
            <w:r>
              <w:rPr>
                <w:u w:val="single"/>
              </w:rPr>
              <w:t>(1)  the affidavit under Article 18.01(b) is submitted concurrently with a statement, signed by the chief administrator of the law enforcement agency employing the affiant or by the chief administrator's designee</w:t>
            </w:r>
            <w:r w:rsidRPr="00F93DFB">
              <w:rPr>
                <w:highlight w:val="lightGray"/>
                <w:u w:val="single"/>
              </w:rPr>
              <w:t>, that a no-knock entry is necessary to avoid the risk of death or serious bodily injury to peace officers and to others</w:t>
            </w:r>
            <w:r>
              <w:rPr>
                <w:u w:val="single"/>
              </w:rPr>
              <w:t>; and</w:t>
            </w:r>
          </w:p>
          <w:p w:rsidR="004C1218">
            <w:pPr>
              <w:jc w:val="both"/>
            </w:pPr>
            <w:r>
              <w:rPr>
                <w:u w:val="single"/>
              </w:rPr>
              <w:t>(2)  the warrant requires:</w:t>
            </w:r>
          </w:p>
          <w:p w:rsidR="004C1218" w:rsidRPr="00F93DFB">
            <w:pPr>
              <w:jc w:val="both"/>
              <w:rPr>
                <w:highlight w:val="lightGray"/>
              </w:rPr>
            </w:pPr>
            <w:r>
              <w:rPr>
                <w:u w:val="single"/>
              </w:rPr>
              <w:t xml:space="preserve">(A)  each peace officer executing the warrant </w:t>
            </w:r>
            <w:r w:rsidRPr="00982117">
              <w:rPr>
                <w:highlight w:val="lightGray"/>
                <w:u w:val="single"/>
              </w:rPr>
              <w:t>to</w:t>
            </w:r>
            <w:r>
              <w:rPr>
                <w:u w:val="single"/>
              </w:rPr>
              <w:t xml:space="preserve"> be in uniform or otherwise clearly identifiable as a peace officer</w:t>
            </w:r>
            <w:r w:rsidRPr="00F93DFB">
              <w:rPr>
                <w:highlight w:val="lightGray"/>
                <w:u w:val="single"/>
              </w:rPr>
              <w:t>; and</w:t>
            </w:r>
          </w:p>
          <w:p w:rsidR="004C1218" w:rsidRPr="00F93DFB">
            <w:pPr>
              <w:jc w:val="both"/>
              <w:rPr>
                <w:highlight w:val="lightGray"/>
              </w:rPr>
            </w:pPr>
            <w:r w:rsidRPr="00F93DFB">
              <w:rPr>
                <w:highlight w:val="lightGray"/>
                <w:u w:val="single"/>
              </w:rPr>
              <w:t>(B)  to the extent that the law enforcement agency has the technology available, that the agency make a good faith effort to have each peace officer executing the warrant be equipped with a body worn camera.</w:t>
            </w:r>
          </w:p>
          <w:p w:rsidR="004C1218">
            <w:pPr>
              <w:jc w:val="both"/>
            </w:pPr>
            <w:r w:rsidRPr="00F93DFB">
              <w:rPr>
                <w:highlight w:val="lightGray"/>
                <w:u w:val="single"/>
              </w:rPr>
              <w:t>(d)  A person designated by a chief administrator under Subsection (c)(1) must be a peace officer who reports directly to the chief administrator</w:t>
            </w:r>
            <w:r>
              <w:rPr>
                <w:u w:val="single"/>
              </w:rPr>
              <w:t>.</w:t>
            </w:r>
          </w:p>
        </w:tc>
        <w:tc>
          <w:tcPr>
            <w:tcW w:w="6480" w:type="dxa"/>
          </w:tcPr>
          <w:p w:rsidR="004C1218">
            <w:pPr>
              <w:jc w:val="both"/>
            </w:pPr>
            <w:r>
              <w:t>SECTION 2.  Chapter 18, Code of Criminal Procedure, is amended by adding Article 18.025 to read as follows:</w:t>
            </w:r>
          </w:p>
          <w:p w:rsidR="004C1218">
            <w:pPr>
              <w:jc w:val="both"/>
            </w:pPr>
            <w:r>
              <w:rPr>
                <w:u w:val="single"/>
              </w:rPr>
              <w:t>Art. 18.025.  NO-KNOCK WARRANT.  (a)  In this article, "no-knock entry" has the meaning assigned by Article 15.251.</w:t>
            </w:r>
          </w:p>
          <w:p w:rsidR="004C1218" w:rsidRPr="00E96D98">
            <w:pPr>
              <w:jc w:val="both"/>
              <w:rPr>
                <w:highlight w:val="lightGray"/>
              </w:rPr>
            </w:pPr>
            <w:r>
              <w:rPr>
                <w:u w:val="single"/>
              </w:rPr>
              <w:t xml:space="preserve">(b)  </w:t>
            </w:r>
            <w:r w:rsidRPr="00E96D98">
              <w:rPr>
                <w:highlight w:val="lightGray"/>
                <w:u w:val="single"/>
              </w:rPr>
              <w:t>Notwithstanding any other law, only the following magistrates may</w:t>
            </w:r>
            <w:r>
              <w:rPr>
                <w:u w:val="single"/>
              </w:rPr>
              <w:t xml:space="preserve"> issue a warrant under this chapter that authorizes a no-knock entry</w:t>
            </w:r>
            <w:r w:rsidRPr="00E96D98">
              <w:rPr>
                <w:highlight w:val="lightGray"/>
                <w:u w:val="single"/>
              </w:rPr>
              <w:t>:</w:t>
            </w:r>
          </w:p>
          <w:p w:rsidR="004C1218" w:rsidRPr="00E96D98">
            <w:pPr>
              <w:jc w:val="both"/>
              <w:rPr>
                <w:highlight w:val="lightGray"/>
              </w:rPr>
            </w:pPr>
            <w:r w:rsidRPr="00E96D98">
              <w:rPr>
                <w:highlight w:val="lightGray"/>
                <w:u w:val="single"/>
              </w:rPr>
              <w:t>(1)  a district court judge;</w:t>
            </w:r>
          </w:p>
          <w:p w:rsidR="004C1218" w:rsidRPr="00E96D98">
            <w:pPr>
              <w:jc w:val="both"/>
              <w:rPr>
                <w:highlight w:val="lightGray"/>
              </w:rPr>
            </w:pPr>
            <w:r w:rsidRPr="00E96D98">
              <w:rPr>
                <w:highlight w:val="lightGray"/>
                <w:u w:val="single"/>
              </w:rPr>
              <w:t>(2)  a statutory county court judge;</w:t>
            </w:r>
          </w:p>
          <w:p w:rsidR="004C1218" w:rsidRPr="00E96D98">
            <w:pPr>
              <w:jc w:val="both"/>
              <w:rPr>
                <w:highlight w:val="lightGray"/>
              </w:rPr>
            </w:pPr>
            <w:r w:rsidRPr="00E96D98">
              <w:rPr>
                <w:highlight w:val="lightGray"/>
                <w:u w:val="single"/>
              </w:rPr>
              <w:t>(3)  a judge of a county court who is an attorney licensed by this state;</w:t>
            </w:r>
          </w:p>
          <w:p w:rsidR="004C1218" w:rsidRPr="00E96D98">
            <w:pPr>
              <w:jc w:val="both"/>
              <w:rPr>
                <w:highlight w:val="lightGray"/>
              </w:rPr>
            </w:pPr>
            <w:r w:rsidRPr="00E96D98">
              <w:rPr>
                <w:highlight w:val="lightGray"/>
                <w:u w:val="single"/>
              </w:rPr>
              <w:t>(4)  a judge of a municipal court of record who is an attorney licensed by this state; or</w:t>
            </w:r>
          </w:p>
          <w:p w:rsidR="004C1218" w:rsidRPr="00E96D98">
            <w:pPr>
              <w:jc w:val="both"/>
              <w:rPr>
                <w:highlight w:val="lightGray"/>
              </w:rPr>
            </w:pPr>
            <w:r w:rsidRPr="00E96D98">
              <w:rPr>
                <w:highlight w:val="lightGray"/>
                <w:u w:val="single"/>
              </w:rPr>
              <w:t>(5)  any magistrate if the county in which the warrant is issued does not have:</w:t>
            </w:r>
          </w:p>
          <w:p w:rsidR="004C1218" w:rsidRPr="00E96D98">
            <w:pPr>
              <w:jc w:val="both"/>
              <w:rPr>
                <w:highlight w:val="lightGray"/>
              </w:rPr>
            </w:pPr>
            <w:r w:rsidRPr="00E96D98">
              <w:rPr>
                <w:highlight w:val="lightGray"/>
                <w:u w:val="single"/>
              </w:rPr>
              <w:t>(A)  a municipal court of record with a courtroom located in that county and a judge who is an attorney licensed by this state;</w:t>
            </w:r>
          </w:p>
          <w:p w:rsidR="004C1218" w:rsidRPr="00E96D98">
            <w:pPr>
              <w:jc w:val="both"/>
              <w:rPr>
                <w:highlight w:val="lightGray"/>
              </w:rPr>
            </w:pPr>
            <w:r w:rsidRPr="00E96D98">
              <w:rPr>
                <w:highlight w:val="lightGray"/>
                <w:u w:val="single"/>
              </w:rPr>
              <w:t>(B)  a county court judge who is an attorney licensed by this state; or</w:t>
            </w:r>
          </w:p>
          <w:p w:rsidR="004C1218">
            <w:pPr>
              <w:jc w:val="both"/>
            </w:pPr>
            <w:r w:rsidRPr="00E96D98">
              <w:rPr>
                <w:highlight w:val="lightGray"/>
                <w:u w:val="single"/>
              </w:rPr>
              <w:t>(C)  a statutory county court judge</w:t>
            </w:r>
            <w:r w:rsidRPr="00E96D98">
              <w:rPr>
                <w:u w:val="single"/>
              </w:rPr>
              <w:t>.</w:t>
            </w:r>
          </w:p>
          <w:p w:rsidR="004C1218">
            <w:pPr>
              <w:jc w:val="both"/>
            </w:pPr>
            <w:r>
              <w:rPr>
                <w:u w:val="single"/>
              </w:rPr>
              <w:t xml:space="preserve">(c)  A </w:t>
            </w:r>
            <w:r w:rsidRPr="00F93DFB">
              <w:rPr>
                <w:highlight w:val="lightGray"/>
                <w:u w:val="single"/>
              </w:rPr>
              <w:t>magistrate</w:t>
            </w:r>
            <w:r>
              <w:rPr>
                <w:u w:val="single"/>
              </w:rPr>
              <w:t xml:space="preserve"> may issue a warrant under this chapter that authorizes a no-knock entry only if:</w:t>
            </w:r>
            <w:r>
              <w:t xml:space="preserve">  [FA1(3)]</w:t>
            </w:r>
          </w:p>
          <w:p w:rsidR="00F93DFB">
            <w:pPr>
              <w:jc w:val="both"/>
            </w:pPr>
          </w:p>
          <w:p w:rsidR="004C1218">
            <w:pPr>
              <w:jc w:val="both"/>
            </w:pPr>
            <w:r>
              <w:rPr>
                <w:u w:val="single"/>
              </w:rPr>
              <w:t xml:space="preserve">(1) the affidavit under Article 18.01(b) is submitted concurrently with a statement </w:t>
            </w:r>
            <w:r w:rsidRPr="00F93DFB">
              <w:rPr>
                <w:highlight w:val="lightGray"/>
                <w:u w:val="single"/>
              </w:rPr>
              <w:t>that approves the use of a no-knock entry and that is</w:t>
            </w:r>
            <w:r>
              <w:rPr>
                <w:u w:val="single"/>
              </w:rPr>
              <w:t xml:space="preserve"> signed by the chief administrator of the law enforcement agency employing the affiant or by the chief administrator's designee; and</w:t>
            </w:r>
            <w:r>
              <w:t xml:space="preserve">  [FA1(3)-(4)]</w:t>
            </w:r>
          </w:p>
          <w:p w:rsidR="00F93DFB">
            <w:pPr>
              <w:jc w:val="both"/>
            </w:pPr>
          </w:p>
          <w:p w:rsidR="004C1218">
            <w:pPr>
              <w:jc w:val="both"/>
            </w:pPr>
            <w:r>
              <w:rPr>
                <w:u w:val="single"/>
              </w:rPr>
              <w:t xml:space="preserve">(2) the warrant requires </w:t>
            </w:r>
            <w:r w:rsidRPr="00F93DFB">
              <w:rPr>
                <w:highlight w:val="lightGray"/>
                <w:u w:val="single"/>
              </w:rPr>
              <w:t>that</w:t>
            </w:r>
            <w:r>
              <w:rPr>
                <w:u w:val="single"/>
              </w:rPr>
              <w:t xml:space="preserve"> each peace officer executing the warrant be in uniform or otherwise clearly identifiable as a peace officer.</w:t>
            </w:r>
            <w:r>
              <w:t xml:space="preserve">  [FA1(4)]</w:t>
            </w:r>
          </w:p>
          <w:p w:rsidR="004C1218">
            <w:pPr>
              <w:jc w:val="both"/>
            </w:pPr>
          </w:p>
        </w:tc>
        <w:tc>
          <w:tcPr>
            <w:tcW w:w="5760" w:type="dxa"/>
          </w:tcPr>
          <w:p w:rsidR="004C1218">
            <w:pPr>
              <w:jc w:val="both"/>
            </w:pPr>
          </w:p>
        </w:tc>
      </w:tr>
      <w:tr>
        <w:tblPrEx>
          <w:tblW w:w="4820" w:type="pct"/>
          <w:tblInd w:w="6" w:type="dxa"/>
          <w:tblLayout w:type="fixed"/>
          <w:tblCellMar>
            <w:left w:w="0" w:type="dxa"/>
            <w:bottom w:w="288" w:type="dxa"/>
            <w:right w:w="720" w:type="dxa"/>
          </w:tblCellMar>
          <w:tblLook w:val="01E0"/>
        </w:tblPrEx>
        <w:tc>
          <w:tcPr>
            <w:tcW w:w="6473" w:type="dxa"/>
          </w:tcPr>
          <w:p w:rsidR="004C1218">
            <w:pPr>
              <w:jc w:val="both"/>
            </w:pPr>
            <w:r>
              <w:t>SECTION 3.  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tc>
        <w:tc>
          <w:tcPr>
            <w:tcW w:w="6480" w:type="dxa"/>
          </w:tcPr>
          <w:p w:rsidR="004C1218">
            <w:pPr>
              <w:jc w:val="both"/>
            </w:pPr>
            <w:r>
              <w:t>SECTION 3. Same as House version.</w:t>
            </w:r>
          </w:p>
          <w:p w:rsidR="004C1218">
            <w:pPr>
              <w:jc w:val="both"/>
            </w:pPr>
          </w:p>
          <w:p w:rsidR="004C1218">
            <w:pPr>
              <w:jc w:val="both"/>
            </w:pPr>
          </w:p>
        </w:tc>
        <w:tc>
          <w:tcPr>
            <w:tcW w:w="5760" w:type="dxa"/>
          </w:tcPr>
          <w:p w:rsidR="004C1218">
            <w:pPr>
              <w:jc w:val="both"/>
            </w:pPr>
          </w:p>
        </w:tc>
      </w:tr>
      <w:tr>
        <w:tblPrEx>
          <w:tblW w:w="4820" w:type="pct"/>
          <w:tblInd w:w="6" w:type="dxa"/>
          <w:tblLayout w:type="fixed"/>
          <w:tblCellMar>
            <w:left w:w="0" w:type="dxa"/>
            <w:bottom w:w="288" w:type="dxa"/>
            <w:right w:w="720" w:type="dxa"/>
          </w:tblCellMar>
          <w:tblLook w:val="01E0"/>
        </w:tblPrEx>
        <w:tc>
          <w:tcPr>
            <w:tcW w:w="6473" w:type="dxa"/>
          </w:tcPr>
          <w:p w:rsidR="004C1218">
            <w:pPr>
              <w:jc w:val="both"/>
            </w:pPr>
            <w:r>
              <w:t>SECTION 4.  This Act takes effect September 1, 2021.</w:t>
            </w:r>
          </w:p>
          <w:p w:rsidR="004C1218">
            <w:pPr>
              <w:jc w:val="both"/>
            </w:pPr>
          </w:p>
        </w:tc>
        <w:tc>
          <w:tcPr>
            <w:tcW w:w="6480" w:type="dxa"/>
          </w:tcPr>
          <w:p w:rsidR="004C1218">
            <w:pPr>
              <w:jc w:val="both"/>
            </w:pPr>
            <w:r>
              <w:t>SECTION 4. Same as House version.</w:t>
            </w:r>
          </w:p>
          <w:p w:rsidR="004C1218">
            <w:pPr>
              <w:jc w:val="both"/>
            </w:pPr>
          </w:p>
          <w:p w:rsidR="004C1218">
            <w:pPr>
              <w:jc w:val="both"/>
            </w:pPr>
          </w:p>
        </w:tc>
        <w:tc>
          <w:tcPr>
            <w:tcW w:w="5760" w:type="dxa"/>
          </w:tcPr>
          <w:p w:rsidR="004C1218">
            <w:pPr>
              <w:jc w:val="both"/>
            </w:pPr>
          </w:p>
        </w:tc>
      </w:tr>
    </w:tbl>
    <w:p w:rsidR="00DC0625"/>
    <w:sectPr w:rsidSect="004C121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1218">
    <w:pPr>
      <w:tabs>
        <w:tab w:val="center" w:pos="9360"/>
        <w:tab w:val="right" w:pos="18720"/>
      </w:tabs>
    </w:pPr>
    <w:r>
      <w:fldChar w:fldCharType="begin"/>
    </w:r>
    <w:r>
      <w:instrText xml:space="preserve"> DOCPROPERTY  CCRF  \* MERGEFORMAT </w:instrText>
    </w:r>
    <w:r>
      <w:fldChar w:fldCharType="separate"/>
    </w:r>
    <w:r w:rsidR="00982117">
      <w:t xml:space="preserve"> </w:t>
    </w:r>
    <w:r w:rsidR="00982117">
      <w:fldChar w:fldCharType="end"/>
    </w:r>
    <w:r w:rsidR="00F2771F">
      <w:tab/>
    </w:r>
    <w:r>
      <w:fldChar w:fldCharType="begin"/>
    </w:r>
    <w:r w:rsidR="00F2771F">
      <w:instrText xml:space="preserve"> PAGE </w:instrText>
    </w:r>
    <w:r>
      <w:fldChar w:fldCharType="separate"/>
    </w:r>
    <w:r w:rsidR="00F2771F">
      <w:t>3</w:t>
    </w:r>
    <w:r>
      <w:fldChar w:fldCharType="end"/>
    </w:r>
    <w:r w:rsidR="00F2771F">
      <w:tab/>
    </w:r>
    <w:r>
      <w:fldChar w:fldCharType="begin"/>
    </w:r>
    <w:r>
      <w:instrText xml:space="preserve"> DOCPROPERTY  OTID  \* MERGEFORMAT </w:instrText>
    </w:r>
    <w:r>
      <w:fldChar w:fldCharType="separate"/>
    </w:r>
    <w:r w:rsidR="009821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18"/>
    <w:rsid w:val="004C1218"/>
    <w:rsid w:val="00982117"/>
    <w:rsid w:val="00DC0625"/>
    <w:rsid w:val="00E230EE"/>
    <w:rsid w:val="00E96D98"/>
    <w:rsid w:val="00F2771F"/>
    <w:rsid w:val="00F93D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D82118C-5D13-4B02-9B33-61C08EA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1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EE"/>
    <w:pPr>
      <w:tabs>
        <w:tab w:val="center" w:pos="4680"/>
        <w:tab w:val="right" w:pos="9360"/>
      </w:tabs>
    </w:pPr>
  </w:style>
  <w:style w:type="character" w:customStyle="1" w:styleId="HeaderChar">
    <w:name w:val="Header Char"/>
    <w:basedOn w:val="DefaultParagraphFont"/>
    <w:link w:val="Header"/>
    <w:uiPriority w:val="99"/>
    <w:rsid w:val="00E230EE"/>
    <w:rPr>
      <w:sz w:val="22"/>
    </w:rPr>
  </w:style>
  <w:style w:type="paragraph" w:styleId="Footer">
    <w:name w:val="footer"/>
    <w:basedOn w:val="Normal"/>
    <w:link w:val="FooterChar"/>
    <w:uiPriority w:val="99"/>
    <w:unhideWhenUsed/>
    <w:rsid w:val="00E230EE"/>
    <w:pPr>
      <w:tabs>
        <w:tab w:val="center" w:pos="4680"/>
        <w:tab w:val="right" w:pos="9360"/>
      </w:tabs>
    </w:pPr>
  </w:style>
  <w:style w:type="character" w:customStyle="1" w:styleId="FooterChar">
    <w:name w:val="Footer Char"/>
    <w:basedOn w:val="DefaultParagraphFont"/>
    <w:link w:val="Footer"/>
    <w:uiPriority w:val="99"/>
    <w:rsid w:val="00E230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1056</Words>
  <Characters>5229</Characters>
  <Application>Microsoft Office Word</Application>
  <DocSecurity>0</DocSecurity>
  <Lines>179</Lines>
  <Paragraphs>56</Paragraphs>
  <ScaleCrop>false</ScaleCrop>
  <HeadingPairs>
    <vt:vector size="2" baseType="variant">
      <vt:variant>
        <vt:lpstr>Title</vt:lpstr>
      </vt:variant>
      <vt:variant>
        <vt:i4>1</vt:i4>
      </vt:variant>
    </vt:vector>
  </HeadingPairs>
  <TitlesOfParts>
    <vt:vector size="1" baseType="lpstr">
      <vt:lpstr>HB492-SAA</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HB492-SAA</dc:title>
  <dc:creator>Emily Spurgin-Rodriguez</dc:creator>
  <cp:lastModifiedBy>Chandler Lewis</cp:lastModifiedBy>
  <cp:revision>2</cp:revision>
  <dcterms:created xsi:type="dcterms:W3CDTF">2021-05-26T13:51:00Z</dcterms:created>
  <dcterms:modified xsi:type="dcterms:W3CDTF">2021-05-26T13:51:00Z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