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AE17A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245E2">
            <w:pPr>
              <w:ind w:left="650"/>
              <w:jc w:val="center"/>
            </w:pPr>
            <w:r>
              <w:rPr>
                <w:b/>
              </w:rPr>
              <w:t>House Bill  569</w:t>
            </w:r>
          </w:p>
          <w:p w:rsidR="00C245E2">
            <w:pPr>
              <w:ind w:left="650"/>
              <w:jc w:val="center"/>
            </w:pPr>
            <w:r>
              <w:t>Senate Amendments</w:t>
            </w:r>
          </w:p>
          <w:p w:rsidR="00C245E2">
            <w:pPr>
              <w:ind w:left="650"/>
              <w:jc w:val="center"/>
            </w:pPr>
            <w:r>
              <w:t>Section-by-Section Analysis</w:t>
            </w:r>
          </w:p>
          <w:p w:rsidR="00C245E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245E2">
            <w:pPr>
              <w:jc w:val="center"/>
            </w:pPr>
            <w:r>
              <w:t>HOUSE VERSION</w:t>
            </w:r>
          </w:p>
        </w:tc>
        <w:tc>
          <w:tcPr>
            <w:tcW w:w="1667" w:type="pct"/>
            <w:tcMar>
              <w:bottom w:w="188" w:type="dxa"/>
              <w:right w:w="0" w:type="dxa"/>
            </w:tcMar>
          </w:tcPr>
          <w:p w:rsidR="00C245E2">
            <w:pPr>
              <w:jc w:val="center"/>
            </w:pPr>
            <w:r>
              <w:t>SENATE VERSION (IE)</w:t>
            </w:r>
          </w:p>
        </w:tc>
        <w:tc>
          <w:tcPr>
            <w:tcW w:w="1667" w:type="pct"/>
            <w:tcMar>
              <w:bottom w:w="188" w:type="dxa"/>
              <w:right w:w="0" w:type="dxa"/>
            </w:tcMar>
          </w:tcPr>
          <w:p w:rsidR="00C245E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rsidRPr="00AE17AB">
              <w:rPr>
                <w:highlight w:val="lightGray"/>
              </w:rPr>
              <w:t>No equivalent provision.</w:t>
            </w:r>
          </w:p>
          <w:p w:rsidR="00C245E2">
            <w:pPr>
              <w:jc w:val="both"/>
            </w:pPr>
          </w:p>
        </w:tc>
        <w:tc>
          <w:tcPr>
            <w:tcW w:w="6480" w:type="dxa"/>
          </w:tcPr>
          <w:p w:rsidR="00C245E2">
            <w:pPr>
              <w:jc w:val="both"/>
            </w:pPr>
            <w:r>
              <w:t>SECTION __.  This Act may be cited as the Bonton Farms Act.  [FA1]</w:t>
            </w: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1.  Article 45.014(e), Code of Criminal Procedure, as added by Chapter 1127 (S.B. 1913), Acts of the 85th Legislature, Regular Session, 2017, is amended to read as follows:</w:t>
            </w:r>
          </w:p>
          <w:p w:rsidR="00C245E2">
            <w:pPr>
              <w:jc w:val="both"/>
            </w:pPr>
            <w:r>
              <w:t>(e)  A justice or judge may not issue an arrest warrant for the defendant's failure to appear at the initial court setting, including failure to appear as required by a citation issued under Article 14.06(b), unless:</w:t>
            </w:r>
          </w:p>
          <w:p w:rsidR="00C245E2">
            <w:pPr>
              <w:jc w:val="both"/>
            </w:pPr>
            <w:r>
              <w:t>(1)  the justice or judge provides by telephone or regular mail to the defendant notice that includes:</w:t>
            </w:r>
          </w:p>
          <w:p w:rsidR="00C245E2">
            <w:pPr>
              <w:jc w:val="both"/>
            </w:pPr>
            <w:r>
              <w:t>(A)  a date and time, occurring within the 30-day period following the date that notice is provided, when the defendant must appear before the justice or judge;</w:t>
            </w:r>
          </w:p>
          <w:p w:rsidR="00C245E2">
            <w:pPr>
              <w:jc w:val="both"/>
            </w:pPr>
            <w:r>
              <w:t>(B)  the name and address of the court with jurisdiction in the case;</w:t>
            </w:r>
          </w:p>
          <w:p w:rsidR="00C245E2">
            <w:pPr>
              <w:jc w:val="both"/>
            </w:pPr>
            <w:r>
              <w:t>(C)  information regarding alternatives to the full payment of any fine or costs owed by the defendant, if the defendant is unable to pay that amount;</w:t>
            </w:r>
          </w:p>
          <w:p w:rsidR="00C245E2">
            <w:pPr>
              <w:jc w:val="both"/>
            </w:pPr>
            <w:r>
              <w:rPr>
                <w:u w:val="single"/>
              </w:rPr>
              <w:t>(D)  a statement that the defendant may be entitled to a credit toward any fine or costs owed by the defendant if the defendant was confined in jail or prison after the commission of the offense for which the notice is given;</w:t>
            </w:r>
            <w:r>
              <w:t xml:space="preserve"> and</w:t>
            </w:r>
          </w:p>
          <w:p w:rsidR="00C245E2">
            <w:pPr>
              <w:jc w:val="both"/>
            </w:pPr>
            <w:r>
              <w:rPr>
                <w:u w:val="single"/>
              </w:rPr>
              <w:t>(E)</w:t>
            </w:r>
            <w:r>
              <w:t xml:space="preserve"> [</w:t>
            </w:r>
            <w:r>
              <w:rPr>
                <w:strike/>
              </w:rPr>
              <w:t>(D)</w:t>
            </w:r>
            <w:r>
              <w:t>]  an explanation of the consequences if the defendant fails to appear before the justice or judge as required by this article; and</w:t>
            </w:r>
          </w:p>
          <w:p w:rsidR="00C245E2">
            <w:pPr>
              <w:jc w:val="both"/>
            </w:pPr>
            <w:r>
              <w:t>(2)  the defendant fails to appear before the justice or judge as required by this article.</w:t>
            </w:r>
          </w:p>
          <w:p w:rsidR="00C245E2">
            <w:pPr>
              <w:jc w:val="both"/>
            </w:pPr>
          </w:p>
        </w:tc>
        <w:tc>
          <w:tcPr>
            <w:tcW w:w="6480" w:type="dxa"/>
          </w:tcPr>
          <w:p w:rsidR="00C245E2">
            <w:pPr>
              <w:jc w:val="both"/>
            </w:pPr>
            <w:r>
              <w:t>SECTION 1.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2.  Article 45.041, Code of Criminal Procedure, is amended by amending Subsection (c) and adding Subsection (c-1) to read as follows:</w:t>
            </w:r>
          </w:p>
          <w:p w:rsidR="00C245E2">
            <w:pPr>
              <w:jc w:val="both"/>
            </w:pPr>
            <w:r>
              <w:t xml:space="preserve">(c)  The justice or judge shall credit the defendant for time served in jail as provided by Article 42.03.  The credit </w:t>
            </w:r>
            <w:r>
              <w:rPr>
                <w:u w:val="single"/>
              </w:rPr>
              <w:t>under this subsection</w:t>
            </w:r>
            <w:r>
              <w:t xml:space="preserve"> shall be applied to the amount of the fine and costs at the rate provided by Article 45.048.</w:t>
            </w:r>
          </w:p>
          <w:p w:rsidR="00C245E2">
            <w:pPr>
              <w:jc w:val="both"/>
            </w:pPr>
            <w:r>
              <w:rPr>
                <w:u w:val="single"/>
              </w:rPr>
              <w:t>(c-1)  In addition to credit under Subsection (c), in  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The credit under this subsection shall be applied to the amount of the fine and costs at the rate of not less than $150 for each day of confinement.</w:t>
            </w:r>
          </w:p>
          <w:p w:rsidR="00C245E2">
            <w:pPr>
              <w:jc w:val="both"/>
            </w:pPr>
          </w:p>
        </w:tc>
        <w:tc>
          <w:tcPr>
            <w:tcW w:w="6480" w:type="dxa"/>
          </w:tcPr>
          <w:p w:rsidR="00C245E2">
            <w:pPr>
              <w:jc w:val="both"/>
            </w:pPr>
            <w:r>
              <w:t>SECTION 2.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3.  Article 45.048, Code of Criminal Procedure, is amended to read as follows:</w:t>
            </w:r>
          </w:p>
          <w:p w:rsidR="00C245E2">
            <w:pPr>
              <w:jc w:val="both"/>
            </w:pPr>
            <w:r>
              <w:t>Art. 45.048.  DISCHARGED FROM JAIL.  (a)  A defendant placed in jail on account of failure to pay the fine and costs shall be discharged on habeas corpus by showing that the defendant:</w:t>
            </w:r>
          </w:p>
          <w:p w:rsidR="00C245E2">
            <w:pPr>
              <w:jc w:val="both"/>
            </w:pPr>
            <w:r>
              <w:t>(1)  is too poor to pay the fine and costs; or</w:t>
            </w:r>
          </w:p>
          <w:p w:rsidR="00C245E2">
            <w:pPr>
              <w:jc w:val="both"/>
            </w:pPr>
            <w:r>
              <w:t xml:space="preserve">(2)  has remained in jail a sufficient length of time to satisfy the fine and costs, at the rate of not less than </w:t>
            </w:r>
            <w:r>
              <w:rPr>
                <w:u w:val="single"/>
              </w:rPr>
              <w:t>$150</w:t>
            </w:r>
            <w:r>
              <w:t xml:space="preserve"> [</w:t>
            </w:r>
            <w:r>
              <w:rPr>
                <w:strike/>
              </w:rPr>
              <w:t>$100</w:t>
            </w:r>
            <w:r>
              <w:t>] for each period served, as specified by the convicting court in the judgment in the case.</w:t>
            </w:r>
          </w:p>
          <w:p w:rsidR="00C245E2">
            <w:pPr>
              <w:jc w:val="both"/>
            </w:pPr>
            <w:r>
              <w:t xml:space="preserve">(b)  A convicting court may specify a period that is not less than eight hours or more than 24 hours as the period for which a defendant who fails to pay the fine and costs in the case must remain in jail to satisfy </w:t>
            </w:r>
            <w:r>
              <w:rPr>
                <w:u w:val="single"/>
              </w:rPr>
              <w:t>$150</w:t>
            </w:r>
            <w:r>
              <w:t xml:space="preserve"> [</w:t>
            </w:r>
            <w:r>
              <w:rPr>
                <w:strike/>
              </w:rPr>
              <w:t>$100</w:t>
            </w:r>
            <w:r>
              <w:t>] of the fine and costs.</w:t>
            </w:r>
          </w:p>
          <w:p w:rsidR="00C245E2">
            <w:pPr>
              <w:jc w:val="both"/>
            </w:pPr>
          </w:p>
        </w:tc>
        <w:tc>
          <w:tcPr>
            <w:tcW w:w="6480" w:type="dxa"/>
          </w:tcPr>
          <w:p w:rsidR="00C245E2">
            <w:pPr>
              <w:jc w:val="both"/>
            </w:pPr>
            <w:r>
              <w:t>SECTION 3.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4.  Article 45.014(e), Code of Criminal Procedure, as added by Chapter 977 (H.B. 351), Acts of the 85th Legislature, Regular Session, 2017, is repealed.</w:t>
            </w:r>
          </w:p>
          <w:p w:rsidR="00C245E2">
            <w:pPr>
              <w:jc w:val="both"/>
            </w:pPr>
          </w:p>
        </w:tc>
        <w:tc>
          <w:tcPr>
            <w:tcW w:w="6480" w:type="dxa"/>
          </w:tcPr>
          <w:p w:rsidR="00C245E2">
            <w:pPr>
              <w:jc w:val="both"/>
            </w:pPr>
            <w:r>
              <w:t>SECTION 4.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5.  Article 45.041(c-1), Code of Criminal Procedure, as added by this Act, applies to a defendant who is sentenced for an offense on or after the effective date of this Act, regardless of whether the offense is committed before, on, or after the effective date of this Act.</w:t>
            </w:r>
          </w:p>
          <w:p w:rsidR="00C245E2">
            <w:pPr>
              <w:jc w:val="both"/>
            </w:pPr>
          </w:p>
        </w:tc>
        <w:tc>
          <w:tcPr>
            <w:tcW w:w="6480" w:type="dxa"/>
          </w:tcPr>
          <w:p w:rsidR="00C245E2">
            <w:pPr>
              <w:jc w:val="both"/>
            </w:pPr>
            <w:r>
              <w:t>SECTION 5.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6.  Article 45.048, Code of Criminal Procedure, as amended by this Act,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C245E2">
            <w:pPr>
              <w:jc w:val="both"/>
            </w:pPr>
          </w:p>
        </w:tc>
        <w:tc>
          <w:tcPr>
            <w:tcW w:w="6480" w:type="dxa"/>
          </w:tcPr>
          <w:p w:rsidR="00C245E2">
            <w:pPr>
              <w:jc w:val="both"/>
            </w:pPr>
            <w:r>
              <w:t>SECTION 6. Same as House version.</w:t>
            </w:r>
          </w:p>
          <w:p w:rsidR="00C245E2">
            <w:pPr>
              <w:jc w:val="both"/>
            </w:pPr>
          </w:p>
          <w:p w:rsidR="00C245E2">
            <w:pPr>
              <w:jc w:val="both"/>
            </w:pPr>
          </w:p>
        </w:tc>
        <w:tc>
          <w:tcPr>
            <w:tcW w:w="5760" w:type="dxa"/>
          </w:tcPr>
          <w:p w:rsidR="00C245E2">
            <w:pPr>
              <w:jc w:val="both"/>
            </w:pPr>
          </w:p>
        </w:tc>
      </w:tr>
      <w:tr>
        <w:tblPrEx>
          <w:tblW w:w="4820" w:type="pct"/>
          <w:tblInd w:w="6" w:type="dxa"/>
          <w:tblLayout w:type="fixed"/>
          <w:tblCellMar>
            <w:left w:w="0" w:type="dxa"/>
            <w:bottom w:w="288" w:type="dxa"/>
            <w:right w:w="720" w:type="dxa"/>
          </w:tblCellMar>
          <w:tblLook w:val="01E0"/>
        </w:tblPrEx>
        <w:tc>
          <w:tcPr>
            <w:tcW w:w="6473" w:type="dxa"/>
          </w:tcPr>
          <w:p w:rsidR="00C245E2">
            <w:pPr>
              <w:jc w:val="both"/>
            </w:pPr>
            <w:r>
              <w:t>SECTION 7.  This Act takes effect September 1, 2021.</w:t>
            </w:r>
          </w:p>
          <w:p w:rsidR="00C245E2">
            <w:pPr>
              <w:jc w:val="both"/>
            </w:pPr>
          </w:p>
        </w:tc>
        <w:tc>
          <w:tcPr>
            <w:tcW w:w="6480" w:type="dxa"/>
          </w:tcPr>
          <w:p w:rsidR="00C245E2">
            <w:pPr>
              <w:jc w:val="both"/>
            </w:pPr>
            <w:r>
              <w:t>SECTION 7. Same as House version.</w:t>
            </w:r>
          </w:p>
          <w:p w:rsidR="00C245E2">
            <w:pPr>
              <w:jc w:val="both"/>
            </w:pPr>
          </w:p>
          <w:p w:rsidR="00C245E2">
            <w:pPr>
              <w:jc w:val="both"/>
            </w:pPr>
          </w:p>
        </w:tc>
        <w:tc>
          <w:tcPr>
            <w:tcW w:w="5760" w:type="dxa"/>
          </w:tcPr>
          <w:p w:rsidR="00C245E2">
            <w:pPr>
              <w:jc w:val="both"/>
            </w:pPr>
          </w:p>
        </w:tc>
      </w:tr>
    </w:tbl>
    <w:p w:rsidR="00E1336B"/>
    <w:sectPr w:rsidSect="00C245E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5E2">
    <w:pPr>
      <w:tabs>
        <w:tab w:val="center" w:pos="9360"/>
        <w:tab w:val="right" w:pos="18720"/>
      </w:tabs>
    </w:pPr>
    <w:r>
      <w:fldChar w:fldCharType="begin"/>
    </w:r>
    <w:r>
      <w:instrText xml:space="preserve"> DOCPROPERTY  CCRF  \* MERGEFORMAT </w:instrText>
    </w:r>
    <w:r>
      <w:fldChar w:fldCharType="separate"/>
    </w:r>
    <w:r w:rsidR="00280639">
      <w:fldChar w:fldCharType="end"/>
    </w:r>
    <w:r w:rsidR="008C57A4">
      <w:tab/>
    </w:r>
    <w:r>
      <w:fldChar w:fldCharType="begin"/>
    </w:r>
    <w:r w:rsidR="008C57A4">
      <w:instrText xml:space="preserve"> PAGE </w:instrText>
    </w:r>
    <w:r>
      <w:fldChar w:fldCharType="separate"/>
    </w:r>
    <w:r w:rsidR="008C57A4">
      <w:t>3</w:t>
    </w:r>
    <w:r>
      <w:fldChar w:fldCharType="end"/>
    </w:r>
    <w:r w:rsidR="008C57A4">
      <w:tab/>
    </w:r>
    <w:r>
      <w:fldChar w:fldCharType="begin"/>
    </w:r>
    <w:r>
      <w:instrText xml:space="preserve"> DOCPROPERTY  OTID  \* MERGEFORMAT </w:instrText>
    </w:r>
    <w:r>
      <w:fldChar w:fldCharType="separate"/>
    </w:r>
    <w:r w:rsidR="0028063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E2"/>
    <w:rsid w:val="00280639"/>
    <w:rsid w:val="002B5F19"/>
    <w:rsid w:val="008C57A4"/>
    <w:rsid w:val="00AE17AB"/>
    <w:rsid w:val="00C245E2"/>
    <w:rsid w:val="00E133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770FA33-6C04-456D-8D6B-C00E606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AB"/>
    <w:pPr>
      <w:tabs>
        <w:tab w:val="center" w:pos="4680"/>
        <w:tab w:val="right" w:pos="9360"/>
      </w:tabs>
    </w:pPr>
  </w:style>
  <w:style w:type="character" w:customStyle="1" w:styleId="HeaderChar">
    <w:name w:val="Header Char"/>
    <w:basedOn w:val="DefaultParagraphFont"/>
    <w:link w:val="Header"/>
    <w:uiPriority w:val="99"/>
    <w:rsid w:val="00AE17AB"/>
    <w:rPr>
      <w:sz w:val="22"/>
    </w:rPr>
  </w:style>
  <w:style w:type="paragraph" w:styleId="Footer">
    <w:name w:val="footer"/>
    <w:basedOn w:val="Normal"/>
    <w:link w:val="FooterChar"/>
    <w:uiPriority w:val="99"/>
    <w:unhideWhenUsed/>
    <w:rsid w:val="00AE17AB"/>
    <w:pPr>
      <w:tabs>
        <w:tab w:val="center" w:pos="4680"/>
        <w:tab w:val="right" w:pos="9360"/>
      </w:tabs>
    </w:pPr>
  </w:style>
  <w:style w:type="character" w:customStyle="1" w:styleId="FooterChar">
    <w:name w:val="Footer Char"/>
    <w:basedOn w:val="DefaultParagraphFont"/>
    <w:link w:val="Footer"/>
    <w:uiPriority w:val="99"/>
    <w:rsid w:val="00AE17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756</Words>
  <Characters>3550</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HB569-SAA</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HB569-SAA</dc:title>
  <dc:creator>Charles McCarty</dc:creator>
  <cp:lastModifiedBy>Sam Kim</cp:lastModifiedBy>
  <cp:revision>2</cp:revision>
  <dcterms:created xsi:type="dcterms:W3CDTF">2021-05-13T20:13:00Z</dcterms:created>
  <dcterms:modified xsi:type="dcterms:W3CDTF">2021-05-13T20:13:00Z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