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69508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75564">
            <w:pPr>
              <w:ind w:left="650"/>
              <w:jc w:val="center"/>
            </w:pPr>
            <w:r>
              <w:rPr>
                <w:b/>
              </w:rPr>
              <w:t>House Bill  1729</w:t>
            </w:r>
          </w:p>
          <w:p w:rsidR="00475564">
            <w:pPr>
              <w:ind w:left="650"/>
              <w:jc w:val="center"/>
            </w:pPr>
            <w:r>
              <w:t>Senate Amendments</w:t>
            </w:r>
          </w:p>
          <w:p w:rsidR="00475564">
            <w:pPr>
              <w:ind w:left="650"/>
              <w:jc w:val="center"/>
            </w:pPr>
            <w:r>
              <w:t>Section-by-Section Analysis</w:t>
            </w:r>
          </w:p>
          <w:p w:rsidR="0047556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75564">
            <w:pPr>
              <w:jc w:val="center"/>
            </w:pPr>
            <w:r>
              <w:t>HOUSE VERSION</w:t>
            </w:r>
          </w:p>
        </w:tc>
        <w:tc>
          <w:tcPr>
            <w:tcW w:w="1667" w:type="pct"/>
            <w:tcMar>
              <w:bottom w:w="188" w:type="dxa"/>
              <w:right w:w="0" w:type="dxa"/>
            </w:tcMar>
          </w:tcPr>
          <w:p w:rsidR="00475564">
            <w:pPr>
              <w:jc w:val="center"/>
            </w:pPr>
            <w:r>
              <w:t>SENATE VERSION (CS)</w:t>
            </w:r>
          </w:p>
        </w:tc>
        <w:tc>
          <w:tcPr>
            <w:tcW w:w="1667" w:type="pct"/>
            <w:tcMar>
              <w:bottom w:w="188" w:type="dxa"/>
              <w:right w:w="0" w:type="dxa"/>
            </w:tcMar>
          </w:tcPr>
          <w:p w:rsidR="0047556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75564">
            <w:pPr>
              <w:jc w:val="both"/>
            </w:pPr>
            <w:r>
              <w:t>SECTION 1.  Section 251.72, Alcoholic Beverage Code, is amended to read as follows:</w:t>
            </w:r>
          </w:p>
          <w:p w:rsidR="00475564">
            <w:pPr>
              <w:jc w:val="both"/>
            </w:pPr>
            <w:r>
              <w:t xml:space="preserve">Sec. 251.72.  CHANGE OF STATUS.  Except as provided in Sections 251.725, 251.726, </w:t>
            </w:r>
            <w:r>
              <w:rPr>
                <w:u w:val="single"/>
              </w:rPr>
              <w:t>251.727,</w:t>
            </w:r>
            <w:r>
              <w:t xml:space="preserve"> 251.73, and 251.80,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501.035, Election Code, until that status is changed by a subsequent local option election in the same authorized voting unit.</w:t>
            </w:r>
          </w:p>
          <w:p w:rsidR="00475564">
            <w:pPr>
              <w:jc w:val="both"/>
            </w:pPr>
          </w:p>
        </w:tc>
        <w:tc>
          <w:tcPr>
            <w:tcW w:w="6480" w:type="dxa"/>
          </w:tcPr>
          <w:p w:rsidR="00475564">
            <w:pPr>
              <w:jc w:val="both"/>
            </w:pPr>
            <w:r>
              <w:t>SECTION 1. Same as House version.</w:t>
            </w:r>
          </w:p>
          <w:p w:rsidR="00475564">
            <w:pPr>
              <w:jc w:val="both"/>
            </w:pPr>
          </w:p>
          <w:p w:rsidR="00475564">
            <w:pPr>
              <w:jc w:val="both"/>
            </w:pPr>
          </w:p>
        </w:tc>
        <w:tc>
          <w:tcPr>
            <w:tcW w:w="5760" w:type="dxa"/>
          </w:tcPr>
          <w:p w:rsidR="00475564">
            <w:pPr>
              <w:jc w:val="both"/>
            </w:pPr>
          </w:p>
        </w:tc>
      </w:tr>
      <w:tr>
        <w:tblPrEx>
          <w:tblW w:w="4820" w:type="pct"/>
          <w:tblInd w:w="6" w:type="dxa"/>
          <w:tblLayout w:type="fixed"/>
          <w:tblCellMar>
            <w:left w:w="0" w:type="dxa"/>
            <w:bottom w:w="288" w:type="dxa"/>
            <w:right w:w="720" w:type="dxa"/>
          </w:tblCellMar>
          <w:tblLook w:val="01E0"/>
        </w:tblPrEx>
        <w:tc>
          <w:tcPr>
            <w:tcW w:w="6473" w:type="dxa"/>
          </w:tcPr>
          <w:p w:rsidR="00475564">
            <w:pPr>
              <w:jc w:val="both"/>
            </w:pPr>
            <w:r>
              <w:t>SECTION 2.  Subchapter D, Chapter 251, Alcoholic Beverage Code, is amended by adding Section 251.727 to read as follows:</w:t>
            </w:r>
          </w:p>
          <w:p w:rsidR="00475564">
            <w:pPr>
              <w:jc w:val="both"/>
            </w:pPr>
            <w:r>
              <w:rPr>
                <w:u w:val="single"/>
              </w:rPr>
              <w:t>Sec. 251.727.  CHANGE OF STATUS FOR TERRITORY ANNEXED BY MUNICIPALITIES IN CERTAIN COUNTIES.  (a)  This section applies only to a municipality that:</w:t>
            </w:r>
          </w:p>
          <w:p w:rsidR="00475564">
            <w:pPr>
              <w:jc w:val="both"/>
            </w:pPr>
            <w:r>
              <w:rPr>
                <w:u w:val="single"/>
              </w:rPr>
              <w:t>(1)  contains U.S. Highway 287 and State Highway 294; and</w:t>
            </w:r>
          </w:p>
          <w:p w:rsidR="00475564">
            <w:pPr>
              <w:jc w:val="both"/>
              <w:rPr>
                <w:u w:val="single"/>
              </w:rPr>
            </w:pPr>
            <w:r>
              <w:rPr>
                <w:u w:val="single"/>
              </w:rPr>
              <w:t>(2)  is located in a county with a population of not less than 57,000 and not more than 59,000 on September 1, 2021.</w:t>
            </w:r>
          </w:p>
          <w:p w:rsidR="003E7001">
            <w:pPr>
              <w:jc w:val="both"/>
              <w:rPr>
                <w:u w:val="single"/>
              </w:rPr>
            </w:pPr>
          </w:p>
          <w:p w:rsidR="003E7001">
            <w:pPr>
              <w:jc w:val="both"/>
              <w:rPr>
                <w:u w:val="single"/>
              </w:rPr>
            </w:pPr>
          </w:p>
          <w:p w:rsidR="003E7001">
            <w:pPr>
              <w:jc w:val="both"/>
              <w:rPr>
                <w:u w:val="single"/>
              </w:rPr>
            </w:pPr>
          </w:p>
          <w:p w:rsidR="003E7001">
            <w:pPr>
              <w:jc w:val="both"/>
              <w:rPr>
                <w:u w:val="single"/>
              </w:rPr>
            </w:pPr>
          </w:p>
          <w:p w:rsidR="003E7001">
            <w:pPr>
              <w:jc w:val="both"/>
              <w:rPr>
                <w:u w:val="single"/>
              </w:rPr>
            </w:pPr>
          </w:p>
          <w:p w:rsidR="003E7001">
            <w:pPr>
              <w:jc w:val="both"/>
              <w:rPr>
                <w:u w:val="single"/>
              </w:rPr>
            </w:pPr>
          </w:p>
          <w:p w:rsidR="003E7001">
            <w:pPr>
              <w:jc w:val="both"/>
              <w:rPr>
                <w:u w:val="single"/>
              </w:rPr>
            </w:pPr>
          </w:p>
          <w:p w:rsidR="003E7001">
            <w:pPr>
              <w:jc w:val="both"/>
              <w:rPr>
                <w:u w:val="single"/>
              </w:rPr>
            </w:pPr>
          </w:p>
          <w:p w:rsidR="003E7001">
            <w:pPr>
              <w:jc w:val="both"/>
            </w:pPr>
          </w:p>
          <w:p w:rsidR="00036B04">
            <w:pPr>
              <w:jc w:val="both"/>
            </w:pPr>
          </w:p>
          <w:p w:rsidR="00036B04">
            <w:pPr>
              <w:jc w:val="both"/>
            </w:pPr>
          </w:p>
          <w:p w:rsidR="00475564">
            <w:pPr>
              <w:jc w:val="both"/>
            </w:pPr>
            <w:r>
              <w:rPr>
                <w:u w:val="single"/>
              </w:rPr>
              <w:t>(b)  Notwithstanding any other law, an area annexed to a municipality to which this section applies automatically assumes the wet or dry status of that municipality on annexation.</w:t>
            </w:r>
          </w:p>
          <w:p w:rsidR="00475564">
            <w:pPr>
              <w:jc w:val="both"/>
            </w:pPr>
          </w:p>
        </w:tc>
        <w:tc>
          <w:tcPr>
            <w:tcW w:w="6480" w:type="dxa"/>
          </w:tcPr>
          <w:p w:rsidR="00475564">
            <w:pPr>
              <w:jc w:val="both"/>
            </w:pPr>
            <w:r>
              <w:t>SECTION 2.  Subchapter D, Chapter 251, Alcoholic Beverage Code, is amended by adding Section 251.727 to read as follows:</w:t>
            </w:r>
          </w:p>
          <w:p w:rsidR="00475564">
            <w:pPr>
              <w:jc w:val="both"/>
            </w:pPr>
            <w:r>
              <w:rPr>
                <w:u w:val="single"/>
              </w:rPr>
              <w:t>Sec. 251.727.  CHANGE OF STATUS FOR TERRITORY ANNEXED BY MUNICIPALITIES IN CERTAIN COUNTIES.  (a)  This section applies only to:</w:t>
            </w:r>
          </w:p>
          <w:p w:rsidR="00475564" w:rsidRPr="003E7001">
            <w:pPr>
              <w:jc w:val="both"/>
              <w:rPr>
                <w:highlight w:val="lightGray"/>
              </w:rPr>
            </w:pPr>
            <w:r>
              <w:rPr>
                <w:u w:val="single"/>
              </w:rPr>
              <w:t>(1)  a municipality that contains U.S. Highway 287 and State Highway 294 and is located in a county with a population of not less than 57,000 and not more than 59,000 on September 1, 2021</w:t>
            </w:r>
            <w:r w:rsidRPr="00BC0BA2">
              <w:rPr>
                <w:highlight w:val="lightGray"/>
                <w:u w:val="single"/>
              </w:rPr>
              <w:t>; or</w:t>
            </w:r>
          </w:p>
          <w:p w:rsidR="00475564" w:rsidRPr="003E7001">
            <w:pPr>
              <w:jc w:val="both"/>
              <w:rPr>
                <w:highlight w:val="lightGray"/>
              </w:rPr>
            </w:pPr>
            <w:r w:rsidRPr="003E7001">
              <w:rPr>
                <w:highlight w:val="lightGray"/>
                <w:u w:val="single"/>
              </w:rPr>
              <w:t>(2)  a municipality that:</w:t>
            </w:r>
          </w:p>
          <w:p w:rsidR="00475564" w:rsidRPr="003E7001">
            <w:pPr>
              <w:jc w:val="both"/>
              <w:rPr>
                <w:highlight w:val="lightGray"/>
              </w:rPr>
            </w:pPr>
            <w:r w:rsidRPr="003E7001">
              <w:rPr>
                <w:highlight w:val="lightGray"/>
                <w:u w:val="single"/>
              </w:rPr>
              <w:t>(A)  has a municipal boundary located not more than 1.5 miles from an automobile racetrack with a seating capacity of more than 100,000;</w:t>
            </w:r>
          </w:p>
          <w:p w:rsidR="00475564" w:rsidRPr="003E7001">
            <w:pPr>
              <w:jc w:val="both"/>
              <w:rPr>
                <w:highlight w:val="lightGray"/>
              </w:rPr>
            </w:pPr>
            <w:r w:rsidRPr="003E7001">
              <w:rPr>
                <w:highlight w:val="lightGray"/>
                <w:u w:val="single"/>
              </w:rPr>
              <w:t>(B)  has a population of more than 1,000 and less than 3,000; and</w:t>
            </w:r>
          </w:p>
          <w:p w:rsidR="00475564">
            <w:pPr>
              <w:jc w:val="both"/>
            </w:pPr>
            <w:r w:rsidRPr="003E7001">
              <w:rPr>
                <w:highlight w:val="lightGray"/>
                <w:u w:val="single"/>
              </w:rPr>
              <w:t>(C)  is located entirely within a county with a population of more than 650,000 that is adjacent to two counties, each of</w:t>
            </w:r>
            <w:r>
              <w:rPr>
                <w:u w:val="single"/>
              </w:rPr>
              <w:t xml:space="preserve"> </w:t>
            </w:r>
            <w:r w:rsidRPr="003E7001">
              <w:rPr>
                <w:highlight w:val="lightGray"/>
                <w:u w:val="single"/>
              </w:rPr>
              <w:t>which has a population of more than 1.8 million</w:t>
            </w:r>
            <w:r w:rsidRPr="00BC0BA2">
              <w:rPr>
                <w:u w:val="single"/>
              </w:rPr>
              <w:t>.</w:t>
            </w:r>
          </w:p>
          <w:p w:rsidR="00475564">
            <w:pPr>
              <w:jc w:val="both"/>
            </w:pPr>
            <w:r>
              <w:rPr>
                <w:u w:val="single"/>
              </w:rPr>
              <w:t>(b)  Notwithstanding any other law, an area annexed to a municipality to which this section applies automatically assumes the wet or dry status of that municipality on annexation.</w:t>
            </w:r>
          </w:p>
          <w:p w:rsidR="00475564">
            <w:pPr>
              <w:jc w:val="both"/>
            </w:pPr>
          </w:p>
        </w:tc>
        <w:tc>
          <w:tcPr>
            <w:tcW w:w="5760" w:type="dxa"/>
          </w:tcPr>
          <w:p w:rsidR="00475564">
            <w:pPr>
              <w:jc w:val="both"/>
            </w:pPr>
          </w:p>
        </w:tc>
      </w:tr>
      <w:tr>
        <w:tblPrEx>
          <w:tblW w:w="4820" w:type="pct"/>
          <w:tblInd w:w="6" w:type="dxa"/>
          <w:tblLayout w:type="fixed"/>
          <w:tblCellMar>
            <w:left w:w="0" w:type="dxa"/>
            <w:bottom w:w="288" w:type="dxa"/>
            <w:right w:w="720" w:type="dxa"/>
          </w:tblCellMar>
          <w:tblLook w:val="01E0"/>
        </w:tblPrEx>
        <w:tc>
          <w:tcPr>
            <w:tcW w:w="6473" w:type="dxa"/>
          </w:tcPr>
          <w:p w:rsidR="00475564">
            <w:pPr>
              <w:jc w:val="both"/>
            </w:pPr>
            <w:r>
              <w:t>SECTION 3.  The change in law made by this Act applies to an area annexed by a municipality before, on, or after the effective date of this Act.</w:t>
            </w:r>
          </w:p>
          <w:p w:rsidR="00475564">
            <w:pPr>
              <w:jc w:val="both"/>
            </w:pPr>
          </w:p>
        </w:tc>
        <w:tc>
          <w:tcPr>
            <w:tcW w:w="6480" w:type="dxa"/>
          </w:tcPr>
          <w:p w:rsidR="00475564">
            <w:pPr>
              <w:jc w:val="both"/>
            </w:pPr>
            <w:r>
              <w:t>SECTION 3. Same as House version.</w:t>
            </w:r>
          </w:p>
          <w:p w:rsidR="00475564">
            <w:pPr>
              <w:jc w:val="both"/>
            </w:pPr>
          </w:p>
          <w:p w:rsidR="00475564">
            <w:pPr>
              <w:jc w:val="both"/>
            </w:pPr>
          </w:p>
        </w:tc>
        <w:tc>
          <w:tcPr>
            <w:tcW w:w="5760" w:type="dxa"/>
          </w:tcPr>
          <w:p w:rsidR="00475564">
            <w:pPr>
              <w:jc w:val="both"/>
            </w:pPr>
          </w:p>
        </w:tc>
      </w:tr>
      <w:tr>
        <w:tblPrEx>
          <w:tblW w:w="4820" w:type="pct"/>
          <w:tblInd w:w="6" w:type="dxa"/>
          <w:tblLayout w:type="fixed"/>
          <w:tblCellMar>
            <w:left w:w="0" w:type="dxa"/>
            <w:bottom w:w="288" w:type="dxa"/>
            <w:right w:w="720" w:type="dxa"/>
          </w:tblCellMar>
          <w:tblLook w:val="01E0"/>
        </w:tblPrEx>
        <w:tc>
          <w:tcPr>
            <w:tcW w:w="6473" w:type="dxa"/>
          </w:tcPr>
          <w:p w:rsidR="00475564">
            <w:pPr>
              <w:jc w:val="both"/>
            </w:pPr>
            <w:r>
              <w:t>SECTION 4.  This Act takes effect September 1, 2021.</w:t>
            </w:r>
          </w:p>
          <w:p w:rsidR="00475564">
            <w:pPr>
              <w:jc w:val="both"/>
            </w:pPr>
          </w:p>
        </w:tc>
        <w:tc>
          <w:tcPr>
            <w:tcW w:w="6480" w:type="dxa"/>
          </w:tcPr>
          <w:p w:rsidR="00475564">
            <w:pPr>
              <w:jc w:val="both"/>
            </w:pPr>
            <w:r>
              <w:t>SECTION 4. Same as House version.</w:t>
            </w:r>
          </w:p>
          <w:p w:rsidR="00475564">
            <w:pPr>
              <w:jc w:val="both"/>
            </w:pPr>
          </w:p>
          <w:p w:rsidR="00475564">
            <w:pPr>
              <w:jc w:val="both"/>
            </w:pPr>
          </w:p>
        </w:tc>
        <w:tc>
          <w:tcPr>
            <w:tcW w:w="5760" w:type="dxa"/>
          </w:tcPr>
          <w:p w:rsidR="00475564">
            <w:pPr>
              <w:jc w:val="both"/>
            </w:pPr>
          </w:p>
        </w:tc>
      </w:tr>
    </w:tbl>
    <w:p w:rsidR="003377DD"/>
    <w:sectPr w:rsidSect="0047556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56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5B0E37">
      <w:tab/>
    </w:r>
    <w:r>
      <w:fldChar w:fldCharType="begin"/>
    </w:r>
    <w:r w:rsidR="005B0E37">
      <w:instrText xml:space="preserve"> PAGE </w:instrText>
    </w:r>
    <w:r>
      <w:fldChar w:fldCharType="separate"/>
    </w:r>
    <w:r w:rsidR="005B0E37">
      <w:t>2</w:t>
    </w:r>
    <w:r>
      <w:fldChar w:fldCharType="end"/>
    </w:r>
    <w:r w:rsidR="005B0E3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0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64"/>
    <w:rsid w:val="00036B04"/>
    <w:rsid w:val="00232F93"/>
    <w:rsid w:val="0024693D"/>
    <w:rsid w:val="003377DD"/>
    <w:rsid w:val="003E7001"/>
    <w:rsid w:val="00475564"/>
    <w:rsid w:val="005B0E37"/>
    <w:rsid w:val="00695082"/>
    <w:rsid w:val="00BC0B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3EF313-54BF-4748-8CB6-91752E4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82"/>
    <w:pPr>
      <w:tabs>
        <w:tab w:val="center" w:pos="4680"/>
        <w:tab w:val="right" w:pos="9360"/>
      </w:tabs>
    </w:pPr>
  </w:style>
  <w:style w:type="character" w:customStyle="1" w:styleId="HeaderChar">
    <w:name w:val="Header Char"/>
    <w:basedOn w:val="DefaultParagraphFont"/>
    <w:link w:val="Header"/>
    <w:uiPriority w:val="99"/>
    <w:rsid w:val="00695082"/>
    <w:rPr>
      <w:sz w:val="22"/>
    </w:rPr>
  </w:style>
  <w:style w:type="paragraph" w:styleId="Footer">
    <w:name w:val="footer"/>
    <w:basedOn w:val="Normal"/>
    <w:link w:val="FooterChar"/>
    <w:uiPriority w:val="99"/>
    <w:unhideWhenUsed/>
    <w:rsid w:val="00695082"/>
    <w:pPr>
      <w:tabs>
        <w:tab w:val="center" w:pos="4680"/>
        <w:tab w:val="right" w:pos="9360"/>
      </w:tabs>
    </w:pPr>
  </w:style>
  <w:style w:type="character" w:customStyle="1" w:styleId="FooterChar">
    <w:name w:val="Footer Char"/>
    <w:basedOn w:val="DefaultParagraphFont"/>
    <w:link w:val="Footer"/>
    <w:uiPriority w:val="99"/>
    <w:rsid w:val="006950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HB1729-SAA</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HB1729-SAA</dc:title>
  <dc:creator>Katherine Glanz</dc:creator>
  <cp:lastModifiedBy>Nicholas De La Garza</cp:lastModifiedBy>
  <cp:revision>2</cp:revision>
  <dcterms:created xsi:type="dcterms:W3CDTF">2021-05-19T16:16:00Z</dcterms:created>
  <dcterms:modified xsi:type="dcterms:W3CDTF">2021-05-19T16:16:00Z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