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71DC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AB7A94">
            <w:pPr>
              <w:ind w:left="650"/>
              <w:jc w:val="center"/>
            </w:pPr>
            <w:r>
              <w:rPr>
                <w:b/>
              </w:rPr>
              <w:t>House Bill  2116</w:t>
            </w:r>
          </w:p>
          <w:p w:rsidR="00AB7A94">
            <w:pPr>
              <w:ind w:left="650"/>
              <w:jc w:val="center"/>
            </w:pPr>
            <w:r>
              <w:t>Senate Amendments</w:t>
            </w:r>
          </w:p>
          <w:p w:rsidR="00AB7A94">
            <w:pPr>
              <w:ind w:left="650"/>
              <w:jc w:val="center"/>
            </w:pPr>
            <w:r>
              <w:t>Section-by-Section Analysis</w:t>
            </w:r>
          </w:p>
          <w:p w:rsidR="00AB7A9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AB7A94">
            <w:pPr>
              <w:jc w:val="center"/>
            </w:pPr>
            <w:r>
              <w:t>HOUSE VERSION</w:t>
            </w:r>
          </w:p>
        </w:tc>
        <w:tc>
          <w:tcPr>
            <w:tcW w:w="1667" w:type="pct"/>
            <w:tcMar>
              <w:bottom w:w="188" w:type="dxa"/>
              <w:right w:w="0" w:type="dxa"/>
            </w:tcMar>
          </w:tcPr>
          <w:p w:rsidR="00AB7A94">
            <w:pPr>
              <w:jc w:val="center"/>
            </w:pPr>
            <w:r>
              <w:t>SENATE VERSION (IE)</w:t>
            </w:r>
          </w:p>
          <w:p w:rsidR="00471DC8">
            <w:pPr>
              <w:jc w:val="center"/>
            </w:pPr>
            <w:r>
              <w:t>(Unless otherwise indicated, all SECTIONS below are from FA1)</w:t>
            </w:r>
          </w:p>
        </w:tc>
        <w:tc>
          <w:tcPr>
            <w:tcW w:w="1667" w:type="pct"/>
            <w:tcMar>
              <w:bottom w:w="188" w:type="dxa"/>
              <w:right w:w="0" w:type="dxa"/>
            </w:tcMar>
          </w:tcPr>
          <w:p w:rsidR="00AB7A9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AB7A94">
            <w:pPr>
              <w:jc w:val="both"/>
            </w:pPr>
            <w:r>
              <w:t>SECTION 1.  The heading to Chapter 130, Civil Practice and Remedies Code, is amended to read as follows:</w:t>
            </w:r>
          </w:p>
          <w:p w:rsidR="00AB7A94">
            <w:pPr>
              <w:jc w:val="both"/>
            </w:pPr>
            <w:r>
              <w:t xml:space="preserve">CHAPTER 130. </w:t>
            </w:r>
            <w:r>
              <w:rPr>
                <w:u w:val="single"/>
              </w:rPr>
              <w:t>LIABILITY PROVISIONS</w:t>
            </w:r>
            <w:r>
              <w:t xml:space="preserve"> [</w:t>
            </w:r>
            <w:r>
              <w:rPr>
                <w:strike/>
              </w:rPr>
              <w:t>INDEMNIFICATION</w:t>
            </w:r>
            <w:r>
              <w:t>] IN CERTAIN CONSTRUCTION CONTRACTS</w:t>
            </w:r>
          </w:p>
          <w:p w:rsidR="00AB7A94">
            <w:pPr>
              <w:jc w:val="both"/>
            </w:pPr>
          </w:p>
        </w:tc>
        <w:tc>
          <w:tcPr>
            <w:tcW w:w="6480" w:type="dxa"/>
          </w:tcPr>
          <w:p w:rsidR="00AB7A94">
            <w:pPr>
              <w:jc w:val="both"/>
            </w:pPr>
            <w:r>
              <w:t>SECTION 1. Same as House version.</w:t>
            </w:r>
          </w:p>
          <w:p w:rsidR="00AB7A94">
            <w:pPr>
              <w:jc w:val="both"/>
            </w:pPr>
          </w:p>
          <w:p w:rsidR="00AB7A94">
            <w:pPr>
              <w:jc w:val="both"/>
            </w:pPr>
          </w:p>
        </w:tc>
        <w:tc>
          <w:tcPr>
            <w:tcW w:w="5760" w:type="dxa"/>
          </w:tcPr>
          <w:p w:rsidR="00AB7A94">
            <w:pPr>
              <w:jc w:val="both"/>
            </w:pPr>
          </w:p>
        </w:tc>
      </w:tr>
      <w:tr>
        <w:tblPrEx>
          <w:tblW w:w="4820" w:type="pct"/>
          <w:tblInd w:w="6" w:type="dxa"/>
          <w:tblLayout w:type="fixed"/>
          <w:tblCellMar>
            <w:left w:w="0" w:type="dxa"/>
            <w:bottom w:w="288" w:type="dxa"/>
            <w:right w:w="720" w:type="dxa"/>
          </w:tblCellMar>
          <w:tblLook w:val="01E0"/>
        </w:tblPrEx>
        <w:tc>
          <w:tcPr>
            <w:tcW w:w="6473" w:type="dxa"/>
          </w:tcPr>
          <w:p w:rsidR="00AB7A94">
            <w:pPr>
              <w:jc w:val="both"/>
            </w:pPr>
            <w:r>
              <w:t>SECTION 2.  Section 130.002, Civil Practice and Remedies Code, is amended by adding Subsections (c), (d), and (e) to read as follows:</w:t>
            </w:r>
          </w:p>
          <w:p w:rsidR="007E76CC">
            <w:pPr>
              <w:jc w:val="both"/>
            </w:pPr>
            <w:r>
              <w:rPr>
                <w:u w:val="single"/>
              </w:rPr>
              <w:t xml:space="preserve">(c)  Except as provided by Subsection (d) </w:t>
            </w:r>
            <w:r w:rsidRPr="008F273C">
              <w:rPr>
                <w:u w:val="single"/>
              </w:rPr>
              <w:t>or</w:t>
            </w:r>
            <w:r>
              <w:rPr>
                <w:u w:val="single"/>
              </w:rPr>
              <w:t xml:space="preserve"> (e), a covenant or promise in, in connection with, or collateral to a construction contract for engineering or architectural services related to an improvement to real property is void and unenforceable </w:t>
            </w:r>
            <w:r w:rsidRPr="007E76CC">
              <w:rPr>
                <w:highlight w:val="lightGray"/>
                <w:u w:val="single"/>
              </w:rPr>
              <w:t>if</w:t>
            </w:r>
            <w:r>
              <w:rPr>
                <w:u w:val="single"/>
              </w:rPr>
              <w:t xml:space="preserve">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AB7A94">
            <w:pPr>
              <w:jc w:val="both"/>
              <w:rPr>
                <w:u w:val="single"/>
              </w:rPr>
            </w:pPr>
            <w:r>
              <w:rPr>
                <w:u w:val="single"/>
              </w:rPr>
              <w:t xml:space="preserve">(d)  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w:t>
            </w:r>
            <w:r w:rsidRPr="007E76CC">
              <w:rPr>
                <w:highlight w:val="lightGray"/>
                <w:u w:val="single"/>
              </w:rPr>
              <w:t>commercial general liability</w:t>
            </w:r>
            <w:r>
              <w:rPr>
                <w:u w:val="single"/>
              </w:rPr>
              <w:t xml:space="preserve"> insurance policy and provide any defense to the </w:t>
            </w:r>
            <w:r>
              <w:rPr>
                <w:u w:val="single"/>
              </w:rPr>
              <w:t>owner provided by the policy to a named insured.</w:t>
            </w:r>
          </w:p>
          <w:p w:rsidR="007E76CC">
            <w:pPr>
              <w:jc w:val="both"/>
            </w:pPr>
          </w:p>
          <w:p w:rsidR="00AB7A94">
            <w:pPr>
              <w:jc w:val="both"/>
            </w:pPr>
            <w:r>
              <w:rPr>
                <w:u w:val="single"/>
              </w:rPr>
              <w:t xml:space="preserve">(e)  Subsection (c) does not apply to a contract for </w:t>
            </w:r>
            <w:r w:rsidRPr="007E76CC">
              <w:rPr>
                <w:highlight w:val="lightGray"/>
                <w:u w:val="single"/>
              </w:rPr>
              <w:t>design-build</w:t>
            </w:r>
            <w:r>
              <w:rPr>
                <w:u w:val="single"/>
              </w:rPr>
              <w:t xml:space="preserve"> services in which an owner contracts with </w:t>
            </w:r>
            <w:r w:rsidRPr="007E76CC">
              <w:rPr>
                <w:highlight w:val="lightGray"/>
                <w:u w:val="single"/>
              </w:rPr>
              <w:t>a single</w:t>
            </w:r>
            <w:r>
              <w:rPr>
                <w:u w:val="single"/>
              </w:rPr>
              <w:t xml:space="preserve"> entity to provide both design and construction services.</w:t>
            </w:r>
          </w:p>
          <w:p w:rsidR="00AB7A94">
            <w:pPr>
              <w:jc w:val="both"/>
            </w:pPr>
          </w:p>
        </w:tc>
        <w:tc>
          <w:tcPr>
            <w:tcW w:w="6480" w:type="dxa"/>
          </w:tcPr>
          <w:p w:rsidR="00AB7A94">
            <w:pPr>
              <w:jc w:val="both"/>
            </w:pPr>
            <w:r>
              <w:t>SECTION 2.  Section 130.002, Civil Practice and Remedies Code, is amended by adding Subsections (c), (d), (e), and (f) to read as follows:</w:t>
            </w:r>
          </w:p>
          <w:p w:rsidR="007E76CC">
            <w:pPr>
              <w:jc w:val="both"/>
              <w:rPr>
                <w:u w:val="single"/>
              </w:rPr>
            </w:pPr>
            <w:r>
              <w:rPr>
                <w:u w:val="single"/>
              </w:rPr>
              <w:t xml:space="preserve">(c)  Except as provided by Subsection (d), (e), </w:t>
            </w:r>
            <w:r w:rsidRPr="008F273C">
              <w:rPr>
                <w:u w:val="single"/>
              </w:rPr>
              <w:t xml:space="preserve">or </w:t>
            </w:r>
            <w:r w:rsidRPr="007E76CC">
              <w:rPr>
                <w:highlight w:val="lightGray"/>
                <w:u w:val="single"/>
              </w:rPr>
              <w:t>(f),</w:t>
            </w:r>
            <w:r>
              <w:rPr>
                <w:u w:val="single"/>
              </w:rPr>
              <w:t xml:space="preserve"> a covenant or promise in, in connection with, or collateral to a construction contract for engineering or architectural services related to an improvement to real property is void and unenforceable </w:t>
            </w:r>
            <w:r w:rsidRPr="007E76CC">
              <w:rPr>
                <w:highlight w:val="lightGray"/>
                <w:u w:val="single"/>
              </w:rPr>
              <w:t>to the extent</w:t>
            </w:r>
            <w:r>
              <w:rPr>
                <w:u w:val="single"/>
              </w:rPr>
              <w:t xml:space="preserve">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7E76CC">
            <w:pPr>
              <w:jc w:val="both"/>
            </w:pPr>
            <w:r>
              <w:rPr>
                <w:u w:val="single"/>
              </w:rPr>
              <w:t xml:space="preserve">(d)  Notwithstanding Subsection (c), an owner that is a party to a contract for engineering or architectural services related to an improvement to real property may require in the contract that the engineer or architect name the owner as an additional insured under </w:t>
            </w:r>
            <w:r w:rsidRPr="007E76CC">
              <w:rPr>
                <w:highlight w:val="lightGray"/>
                <w:u w:val="single"/>
              </w:rPr>
              <w:t>any of</w:t>
            </w:r>
            <w:r>
              <w:rPr>
                <w:u w:val="single"/>
              </w:rPr>
              <w:t xml:space="preserve"> the engineer's or architect's insurance </w:t>
            </w:r>
            <w:r w:rsidRPr="007E76CC">
              <w:rPr>
                <w:highlight w:val="lightGray"/>
                <w:u w:val="single"/>
              </w:rPr>
              <w:t>coverage to the extent additional insureds are allowed under</w:t>
            </w:r>
            <w:r>
              <w:rPr>
                <w:u w:val="single"/>
              </w:rPr>
              <w:t xml:space="preserve"> </w:t>
            </w:r>
            <w:r w:rsidRPr="007E76CC">
              <w:rPr>
                <w:highlight w:val="lightGray"/>
                <w:u w:val="single"/>
              </w:rPr>
              <w:t>the</w:t>
            </w:r>
            <w:r>
              <w:rPr>
                <w:u w:val="single"/>
              </w:rPr>
              <w:t xml:space="preserve"> policy and provide any defense to the owner provided by the policy to a named insured.</w:t>
            </w:r>
          </w:p>
          <w:p w:rsidR="007E76CC">
            <w:pPr>
              <w:jc w:val="both"/>
            </w:pPr>
            <w:r>
              <w:rPr>
                <w:u w:val="single"/>
              </w:rPr>
              <w:t xml:space="preserve">(e)  Subsection (c) does not apply to a contract for services in which an owner contracts with </w:t>
            </w:r>
            <w:r w:rsidRPr="002E164C">
              <w:rPr>
                <w:highlight w:val="lightGray"/>
                <w:u w:val="single"/>
              </w:rPr>
              <w:t>an</w:t>
            </w:r>
            <w:r>
              <w:rPr>
                <w:u w:val="single"/>
              </w:rPr>
              <w:t xml:space="preserve"> entity to provide both design and construction services.</w:t>
            </w:r>
          </w:p>
          <w:p w:rsidR="00AB7A94">
            <w:pPr>
              <w:jc w:val="both"/>
            </w:pPr>
            <w:r w:rsidRPr="007E76CC">
              <w:rPr>
                <w:highlight w:val="lightGray"/>
                <w:u w:val="single"/>
              </w:rPr>
              <w:t>(f)  Subsection (c) does not apply to a covenant to defend a party, including a third party, for a claim of negligent hiring of the architect or engineer.</w:t>
            </w:r>
          </w:p>
          <w:p w:rsidR="00AB7A94">
            <w:pPr>
              <w:jc w:val="both"/>
            </w:pPr>
          </w:p>
        </w:tc>
        <w:tc>
          <w:tcPr>
            <w:tcW w:w="5760" w:type="dxa"/>
          </w:tcPr>
          <w:p w:rsidR="00AB7A94">
            <w:pPr>
              <w:jc w:val="both"/>
            </w:pPr>
          </w:p>
        </w:tc>
      </w:tr>
      <w:tr>
        <w:tblPrEx>
          <w:tblW w:w="4820" w:type="pct"/>
          <w:tblInd w:w="6" w:type="dxa"/>
          <w:tblLayout w:type="fixed"/>
          <w:tblCellMar>
            <w:left w:w="0" w:type="dxa"/>
            <w:bottom w:w="288" w:type="dxa"/>
            <w:right w:w="720" w:type="dxa"/>
          </w:tblCellMar>
          <w:tblLook w:val="01E0"/>
        </w:tblPrEx>
        <w:tc>
          <w:tcPr>
            <w:tcW w:w="6473" w:type="dxa"/>
          </w:tcPr>
          <w:p w:rsidR="00AB7A94">
            <w:pPr>
              <w:jc w:val="both"/>
            </w:pPr>
            <w:r>
              <w:t>SECTION 3.  Chapter 130, Civil Practice and Remedies Code, is amended by adding Section 130.0021 to read as follows:</w:t>
            </w:r>
          </w:p>
          <w:p w:rsidR="00AB7A94">
            <w:pPr>
              <w:jc w:val="both"/>
            </w:pPr>
            <w:r>
              <w:rPr>
                <w:u w:val="single"/>
              </w:rPr>
              <w:t>Sec. 130.0021.  ARCHITECT'S OR ENGINEER'S STANDARD OF CARE.  (a)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p>
          <w:p w:rsidR="00AB7A94">
            <w:pPr>
              <w:jc w:val="both"/>
            </w:pPr>
            <w:r>
              <w:rPr>
                <w:u w:val="single"/>
              </w:rPr>
              <w:t>(b)  If a contract described by Subsection (a) contains a provision establishing a different standard of care than the standard described by Subsection (a):</w:t>
            </w:r>
          </w:p>
          <w:p w:rsidR="00AB7A94">
            <w:pPr>
              <w:jc w:val="both"/>
            </w:pPr>
            <w:r>
              <w:rPr>
                <w:u w:val="single"/>
              </w:rPr>
              <w:t>(1)  the provision is void and unenforceable; and</w:t>
            </w:r>
          </w:p>
          <w:p w:rsidR="00AB7A94">
            <w:pPr>
              <w:jc w:val="both"/>
            </w:pPr>
            <w:r>
              <w:rPr>
                <w:u w:val="single"/>
              </w:rPr>
              <w:t>(2)  the standard of care described by Subsection (a) applies to the performance of the architectural or engineering services.</w:t>
            </w:r>
          </w:p>
          <w:p w:rsidR="00AB7A94">
            <w:pPr>
              <w:jc w:val="both"/>
            </w:pPr>
            <w:r>
              <w:rPr>
                <w:u w:val="single"/>
              </w:rPr>
              <w:t>(c)  Section 130.004 does not limit the applicability of this section.</w:t>
            </w:r>
          </w:p>
          <w:p w:rsidR="00AB7A94">
            <w:pPr>
              <w:jc w:val="both"/>
            </w:pPr>
          </w:p>
        </w:tc>
        <w:tc>
          <w:tcPr>
            <w:tcW w:w="6480" w:type="dxa"/>
          </w:tcPr>
          <w:p w:rsidR="00AB7A94">
            <w:pPr>
              <w:jc w:val="both"/>
            </w:pPr>
            <w:r>
              <w:t>SECTION 3. Same as House version.</w:t>
            </w:r>
          </w:p>
          <w:p w:rsidR="00AB7A94">
            <w:pPr>
              <w:jc w:val="both"/>
            </w:pPr>
          </w:p>
          <w:p w:rsidR="00AB7A94">
            <w:pPr>
              <w:jc w:val="both"/>
            </w:pPr>
          </w:p>
        </w:tc>
        <w:tc>
          <w:tcPr>
            <w:tcW w:w="5760" w:type="dxa"/>
          </w:tcPr>
          <w:p w:rsidR="00AB7A94">
            <w:pPr>
              <w:jc w:val="both"/>
            </w:pPr>
          </w:p>
        </w:tc>
      </w:tr>
      <w:tr>
        <w:tblPrEx>
          <w:tblW w:w="4820" w:type="pct"/>
          <w:tblInd w:w="6" w:type="dxa"/>
          <w:tblLayout w:type="fixed"/>
          <w:tblCellMar>
            <w:left w:w="0" w:type="dxa"/>
            <w:bottom w:w="288" w:type="dxa"/>
            <w:right w:w="720" w:type="dxa"/>
          </w:tblCellMar>
          <w:tblLook w:val="01E0"/>
        </w:tblPrEx>
        <w:tc>
          <w:tcPr>
            <w:tcW w:w="6473" w:type="dxa"/>
          </w:tcPr>
          <w:p w:rsidR="00AB7A94">
            <w:pPr>
              <w:jc w:val="both"/>
            </w:pPr>
            <w:r>
              <w:t>SECTION 4.  Section 130.004, Civil Practice and Remedies Code, is amended to read as follows:</w:t>
            </w:r>
          </w:p>
          <w:p w:rsidR="00AB7A94">
            <w:pPr>
              <w:jc w:val="both"/>
            </w:pPr>
            <w:r>
              <w:t xml:space="preserve">Sec. 130.004.  OWNER OF INTEREST IN REAL PROPERTY.  (a)  Except as provided by Section 130.002(b) </w:t>
            </w:r>
            <w:r>
              <w:rPr>
                <w:u w:val="single"/>
              </w:rPr>
              <w:t>or (c) or Section 130.0021</w:t>
            </w:r>
            <w:r>
              <w:t>, this chapter does not apply to an owner of an interest in real property or persons employed solely by that owner.</w:t>
            </w:r>
          </w:p>
          <w:p w:rsidR="00AB7A94">
            <w:pPr>
              <w:jc w:val="both"/>
            </w:pPr>
            <w:r>
              <w:t xml:space="preserve">(b)  Except as provided by Section 130.002(b) </w:t>
            </w:r>
            <w:r>
              <w:rPr>
                <w:u w:val="single"/>
              </w:rPr>
              <w:t>or (c) or Section 130.0021</w:t>
            </w:r>
            <w:r>
              <w:t>, this chapter does not prohibit or make void or unenforceable a covenant or promise to:</w:t>
            </w:r>
          </w:p>
          <w:p w:rsidR="00AB7A94">
            <w:pPr>
              <w:jc w:val="both"/>
            </w:pPr>
            <w:r>
              <w:t>(1)  indemnify or hold harmless an owner of an interest in real property and persons employed solely by that owner; or</w:t>
            </w:r>
          </w:p>
          <w:p w:rsidR="00AB7A94">
            <w:pPr>
              <w:jc w:val="both"/>
            </w:pPr>
            <w:r>
              <w:t>(2)  allocate, release, liquidate, limit, or exclude liability in connection with a construction contract between an owner or other person for whom a construction contract is being performed and a registered architect or licensed engineer.</w:t>
            </w:r>
          </w:p>
          <w:p w:rsidR="00AB7A94">
            <w:pPr>
              <w:jc w:val="both"/>
            </w:pPr>
          </w:p>
        </w:tc>
        <w:tc>
          <w:tcPr>
            <w:tcW w:w="6480" w:type="dxa"/>
          </w:tcPr>
          <w:p w:rsidR="00AB7A94">
            <w:pPr>
              <w:jc w:val="both"/>
            </w:pPr>
            <w:r>
              <w:t>SECTION 4. Same as House version.</w:t>
            </w:r>
          </w:p>
          <w:p w:rsidR="00AB7A94">
            <w:pPr>
              <w:jc w:val="both"/>
            </w:pPr>
          </w:p>
          <w:p w:rsidR="00AB7A94">
            <w:pPr>
              <w:jc w:val="both"/>
            </w:pPr>
          </w:p>
        </w:tc>
        <w:tc>
          <w:tcPr>
            <w:tcW w:w="5760" w:type="dxa"/>
          </w:tcPr>
          <w:p w:rsidR="00AB7A94">
            <w:pPr>
              <w:jc w:val="both"/>
            </w:pPr>
          </w:p>
        </w:tc>
      </w:tr>
      <w:tr>
        <w:tblPrEx>
          <w:tblW w:w="4820" w:type="pct"/>
          <w:tblInd w:w="6" w:type="dxa"/>
          <w:tblLayout w:type="fixed"/>
          <w:tblCellMar>
            <w:left w:w="0" w:type="dxa"/>
            <w:bottom w:w="288" w:type="dxa"/>
            <w:right w:w="720" w:type="dxa"/>
          </w:tblCellMar>
          <w:tblLook w:val="01E0"/>
        </w:tblPrEx>
        <w:tc>
          <w:tcPr>
            <w:tcW w:w="6473" w:type="dxa"/>
          </w:tcPr>
          <w:p w:rsidR="00AB7A94">
            <w:pPr>
              <w:jc w:val="both"/>
            </w:pPr>
            <w:r>
              <w:t>SECTION 5.  (a)  Section 130.002(c), Civil Practice and Remedies Code, as added by this Act, applies only to a covenant or promise in, in connection with, or collateral to a contract entered into on or after the effective date of this Act.</w:t>
            </w:r>
          </w:p>
          <w:p w:rsidR="00AB7A94">
            <w:pPr>
              <w:jc w:val="both"/>
            </w:pPr>
            <w:r>
              <w:t>(b)  Sections 130.002(d) and 130.0021, Civil Practice and Remedies Code, as added by this Act, apply only to a contract entered into on or after the effective date of this Act.</w:t>
            </w:r>
          </w:p>
          <w:p w:rsidR="00AB7A94">
            <w:pPr>
              <w:jc w:val="both"/>
            </w:pPr>
          </w:p>
        </w:tc>
        <w:tc>
          <w:tcPr>
            <w:tcW w:w="6480" w:type="dxa"/>
          </w:tcPr>
          <w:p w:rsidR="00AB7A94">
            <w:pPr>
              <w:jc w:val="both"/>
            </w:pPr>
            <w:r>
              <w:t>SECTION 5. Same as House version.</w:t>
            </w:r>
          </w:p>
          <w:p w:rsidR="00AB7A94">
            <w:pPr>
              <w:jc w:val="both"/>
            </w:pPr>
          </w:p>
          <w:p w:rsidR="00AB7A94">
            <w:pPr>
              <w:jc w:val="both"/>
            </w:pPr>
          </w:p>
        </w:tc>
        <w:tc>
          <w:tcPr>
            <w:tcW w:w="5760" w:type="dxa"/>
          </w:tcPr>
          <w:p w:rsidR="00AB7A94">
            <w:pPr>
              <w:jc w:val="both"/>
            </w:pPr>
          </w:p>
        </w:tc>
      </w:tr>
      <w:tr>
        <w:tblPrEx>
          <w:tblW w:w="4820" w:type="pct"/>
          <w:tblInd w:w="6" w:type="dxa"/>
          <w:tblLayout w:type="fixed"/>
          <w:tblCellMar>
            <w:left w:w="0" w:type="dxa"/>
            <w:bottom w:w="288" w:type="dxa"/>
            <w:right w:w="720" w:type="dxa"/>
          </w:tblCellMar>
          <w:tblLook w:val="01E0"/>
        </w:tblPrEx>
        <w:tc>
          <w:tcPr>
            <w:tcW w:w="6473" w:type="dxa"/>
          </w:tcPr>
          <w:p w:rsidR="00AB7A94">
            <w:pPr>
              <w:jc w:val="both"/>
            </w:pPr>
            <w:r>
              <w:t>SECTION 6.  This Act takes effect September 1, 2021.</w:t>
            </w:r>
          </w:p>
          <w:p w:rsidR="00AB7A94">
            <w:pPr>
              <w:jc w:val="both"/>
            </w:pPr>
          </w:p>
        </w:tc>
        <w:tc>
          <w:tcPr>
            <w:tcW w:w="6480" w:type="dxa"/>
          </w:tcPr>
          <w:p w:rsidR="00AB7A94">
            <w:pPr>
              <w:jc w:val="both"/>
            </w:pPr>
            <w:r>
              <w:t>SECTION 6. Same as House version.</w:t>
            </w:r>
          </w:p>
          <w:p w:rsidR="00AB7A94">
            <w:pPr>
              <w:jc w:val="both"/>
            </w:pPr>
          </w:p>
          <w:p w:rsidR="00AB7A94">
            <w:pPr>
              <w:jc w:val="both"/>
            </w:pPr>
          </w:p>
        </w:tc>
        <w:tc>
          <w:tcPr>
            <w:tcW w:w="5760" w:type="dxa"/>
          </w:tcPr>
          <w:p w:rsidR="00AB7A94">
            <w:pPr>
              <w:jc w:val="both"/>
            </w:pPr>
          </w:p>
        </w:tc>
      </w:tr>
    </w:tbl>
    <w:p w:rsidR="00916571"/>
    <w:sectPr w:rsidSect="00AB7A9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A94">
    <w:pPr>
      <w:tabs>
        <w:tab w:val="center" w:pos="9360"/>
        <w:tab w:val="right" w:pos="18720"/>
      </w:tabs>
    </w:pPr>
    <w:r>
      <w:fldChar w:fldCharType="begin"/>
    </w:r>
    <w:r>
      <w:instrText xml:space="preserve"> DOCPROPERTY  CCRF  \* MERGEFORMAT </w:instrText>
    </w:r>
    <w:r>
      <w:fldChar w:fldCharType="separate"/>
    </w:r>
    <w:r w:rsidR="00FC23CF">
      <w:t xml:space="preserve"> </w:t>
    </w:r>
    <w:r w:rsidR="00FC23CF">
      <w:fldChar w:fldCharType="end"/>
    </w:r>
    <w:r w:rsidR="00BA6B4C">
      <w:tab/>
    </w:r>
    <w:r>
      <w:fldChar w:fldCharType="begin"/>
    </w:r>
    <w:r w:rsidR="00BA6B4C">
      <w:instrText xml:space="preserve"> PAGE </w:instrText>
    </w:r>
    <w:r>
      <w:fldChar w:fldCharType="separate"/>
    </w:r>
    <w:r w:rsidR="00BA6B4C">
      <w:t>3</w:t>
    </w:r>
    <w:r>
      <w:fldChar w:fldCharType="end"/>
    </w:r>
    <w:r w:rsidR="00BA6B4C">
      <w:tab/>
    </w:r>
    <w:r>
      <w:fldChar w:fldCharType="begin"/>
    </w:r>
    <w:r>
      <w:instrText xml:space="preserve"> DOCPROPERTY  OTID  \* MERGEFORMAT </w:instrText>
    </w:r>
    <w:r>
      <w:fldChar w:fldCharType="separate"/>
    </w:r>
    <w:r w:rsidR="00FC23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3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94"/>
    <w:rsid w:val="002E164C"/>
    <w:rsid w:val="00471DC8"/>
    <w:rsid w:val="007E76CC"/>
    <w:rsid w:val="008F273C"/>
    <w:rsid w:val="00916571"/>
    <w:rsid w:val="00AB7A94"/>
    <w:rsid w:val="00BA6B4C"/>
    <w:rsid w:val="00FC23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82FF679-7A48-41AE-B048-36FEBD10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CF"/>
    <w:pPr>
      <w:tabs>
        <w:tab w:val="center" w:pos="4680"/>
        <w:tab w:val="right" w:pos="9360"/>
      </w:tabs>
    </w:pPr>
  </w:style>
  <w:style w:type="character" w:customStyle="1" w:styleId="HeaderChar">
    <w:name w:val="Header Char"/>
    <w:basedOn w:val="DefaultParagraphFont"/>
    <w:link w:val="Header"/>
    <w:uiPriority w:val="99"/>
    <w:rsid w:val="00FC23CF"/>
    <w:rPr>
      <w:sz w:val="22"/>
    </w:rPr>
  </w:style>
  <w:style w:type="paragraph" w:styleId="Footer">
    <w:name w:val="footer"/>
    <w:basedOn w:val="Normal"/>
    <w:link w:val="FooterChar"/>
    <w:uiPriority w:val="99"/>
    <w:unhideWhenUsed/>
    <w:rsid w:val="00FC23CF"/>
    <w:pPr>
      <w:tabs>
        <w:tab w:val="center" w:pos="4680"/>
        <w:tab w:val="right" w:pos="9360"/>
      </w:tabs>
    </w:pPr>
  </w:style>
  <w:style w:type="character" w:customStyle="1" w:styleId="FooterChar">
    <w:name w:val="Footer Char"/>
    <w:basedOn w:val="DefaultParagraphFont"/>
    <w:link w:val="Footer"/>
    <w:uiPriority w:val="99"/>
    <w:rsid w:val="00FC23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3</Pages>
  <Words>1007</Words>
  <Characters>5290</Characters>
  <Application>Microsoft Office Word</Application>
  <DocSecurity>0</DocSecurity>
  <Lines>146</Lines>
  <Paragraphs>37</Paragraphs>
  <ScaleCrop>false</ScaleCrop>
  <HeadingPairs>
    <vt:vector size="2" baseType="variant">
      <vt:variant>
        <vt:lpstr>Title</vt:lpstr>
      </vt:variant>
      <vt:variant>
        <vt:i4>1</vt:i4>
      </vt:variant>
    </vt:vector>
  </HeadingPairs>
  <TitlesOfParts>
    <vt:vector size="1" baseType="lpstr">
      <vt:lpstr>HB2116-SAA</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HB2116-SAA</dc:title>
  <dc:creator>Susan McLane</dc:creator>
  <cp:lastModifiedBy>Barrett McPhaul</cp:lastModifiedBy>
  <cp:revision>2</cp:revision>
  <dcterms:created xsi:type="dcterms:W3CDTF">2021-05-24T19:26:00Z</dcterms:created>
  <dcterms:modified xsi:type="dcterms:W3CDTF">2021-05-24T19:26:00Z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