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80A6A">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F2E52">
            <w:pPr>
              <w:ind w:left="650"/>
              <w:jc w:val="center"/>
            </w:pPr>
            <w:r>
              <w:rPr>
                <w:b/>
              </w:rPr>
              <w:t>House Bill  2168</w:t>
            </w:r>
          </w:p>
          <w:p w:rsidR="00FF2E52">
            <w:pPr>
              <w:ind w:left="650"/>
              <w:jc w:val="center"/>
            </w:pPr>
            <w:r>
              <w:t>Senate Amendments</w:t>
            </w:r>
          </w:p>
          <w:p w:rsidR="00FF2E52">
            <w:pPr>
              <w:ind w:left="650"/>
              <w:jc w:val="center"/>
            </w:pPr>
            <w:r>
              <w:t>Section-by-Section Analysis</w:t>
            </w:r>
          </w:p>
          <w:p w:rsidR="00FF2E5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F2E52">
            <w:pPr>
              <w:jc w:val="center"/>
            </w:pPr>
            <w:r>
              <w:t>HOUSE VERSION</w:t>
            </w:r>
          </w:p>
        </w:tc>
        <w:tc>
          <w:tcPr>
            <w:tcW w:w="1667" w:type="pct"/>
            <w:tcMar>
              <w:bottom w:w="188" w:type="dxa"/>
              <w:right w:w="0" w:type="dxa"/>
            </w:tcMar>
          </w:tcPr>
          <w:p w:rsidR="00FF2E52">
            <w:pPr>
              <w:jc w:val="center"/>
            </w:pPr>
            <w:r>
              <w:t>SENATE VERSION (CS)</w:t>
            </w:r>
          </w:p>
        </w:tc>
        <w:tc>
          <w:tcPr>
            <w:tcW w:w="1667" w:type="pct"/>
            <w:tcMar>
              <w:bottom w:w="188" w:type="dxa"/>
              <w:right w:w="0" w:type="dxa"/>
            </w:tcMar>
          </w:tcPr>
          <w:p w:rsidR="00FF2E5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F2E52">
            <w:pPr>
              <w:jc w:val="both"/>
            </w:pPr>
            <w:r>
              <w:t>SECTION 1.  Section 2004.004, Occupations Code, is amended by adding Subsections (a-1) and (a-2) to read as follows:</w:t>
            </w:r>
          </w:p>
          <w:p w:rsidR="00FF2E52">
            <w:pPr>
              <w:jc w:val="both"/>
            </w:pPr>
            <w:r>
              <w:rPr>
                <w:u w:val="single"/>
              </w:rPr>
              <w:t>(a-1)  Raffle tickets for a charitable raffle conducted under Subsection (a) may be sold:</w:t>
            </w:r>
          </w:p>
          <w:p w:rsidR="00FF2E52">
            <w:pPr>
              <w:jc w:val="both"/>
            </w:pPr>
            <w:r>
              <w:rPr>
                <w:u w:val="single"/>
              </w:rPr>
              <w:t xml:space="preserve">(1)  at the home venue of the professional sports team associated with the foundation conducting the raffle; or </w:t>
            </w:r>
          </w:p>
          <w:p w:rsidR="00FF2E52">
            <w:pPr>
              <w:jc w:val="both"/>
            </w:pPr>
            <w:r>
              <w:rPr>
                <w:u w:val="single"/>
              </w:rPr>
              <w:t>(2)  through digital interactive media, including an Internet website of or mobile application provided by the professional sports team associated with the foundation conducting the raffle, restricted by a virtual geographic boundary or other similar technology that limits the raffle ticket sales to only the home venue.</w:t>
            </w:r>
          </w:p>
          <w:p w:rsidR="00FF2E52">
            <w:pPr>
              <w:jc w:val="both"/>
            </w:pPr>
            <w:r>
              <w:rPr>
                <w:u w:val="single"/>
              </w:rPr>
              <w:t>(a-2)  Raffle tickets sold under Subsection (a-1)(2) may only be sold to individuals physically present at the home venue at the time of the sale.</w:t>
            </w:r>
          </w:p>
          <w:p w:rsidR="00FF2E52">
            <w:pPr>
              <w:jc w:val="both"/>
            </w:pPr>
          </w:p>
        </w:tc>
        <w:tc>
          <w:tcPr>
            <w:tcW w:w="6480" w:type="dxa"/>
          </w:tcPr>
          <w:p w:rsidR="00FF2E52">
            <w:pPr>
              <w:jc w:val="both"/>
            </w:pPr>
            <w:r w:rsidRPr="00B80A6A">
              <w:rPr>
                <w:highlight w:val="lightGray"/>
              </w:rPr>
              <w:t>No equivalent provision.</w:t>
            </w:r>
          </w:p>
          <w:p w:rsidR="00FF2E52">
            <w:pPr>
              <w:jc w:val="both"/>
            </w:pPr>
          </w:p>
        </w:tc>
        <w:tc>
          <w:tcPr>
            <w:tcW w:w="5760" w:type="dxa"/>
          </w:tcPr>
          <w:p w:rsidR="00FF2E52">
            <w:pPr>
              <w:jc w:val="both"/>
            </w:pPr>
          </w:p>
        </w:tc>
      </w:tr>
      <w:tr>
        <w:tblPrEx>
          <w:tblW w:w="4820" w:type="pct"/>
          <w:tblInd w:w="6" w:type="dxa"/>
          <w:tblLayout w:type="fixed"/>
          <w:tblCellMar>
            <w:left w:w="0" w:type="dxa"/>
            <w:bottom w:w="288" w:type="dxa"/>
            <w:right w:w="720" w:type="dxa"/>
          </w:tblCellMar>
          <w:tblLook w:val="01E0"/>
        </w:tblPrEx>
        <w:tc>
          <w:tcPr>
            <w:tcW w:w="6473" w:type="dxa"/>
          </w:tcPr>
          <w:p w:rsidR="00FF2E52">
            <w:pPr>
              <w:jc w:val="both"/>
            </w:pPr>
            <w:r>
              <w:t>SECTION 2.  Sections 2004.002(1-a) and 2004.009(a), Occupations Code, are repealed.</w:t>
            </w:r>
          </w:p>
          <w:p w:rsidR="00FF2E52">
            <w:pPr>
              <w:jc w:val="both"/>
            </w:pPr>
          </w:p>
        </w:tc>
        <w:tc>
          <w:tcPr>
            <w:tcW w:w="6480" w:type="dxa"/>
          </w:tcPr>
          <w:p w:rsidR="00FF2E52">
            <w:pPr>
              <w:jc w:val="both"/>
            </w:pPr>
            <w:r>
              <w:t>SECTION 1. Same as House version.</w:t>
            </w:r>
          </w:p>
          <w:p w:rsidR="00FF2E52">
            <w:pPr>
              <w:jc w:val="both"/>
            </w:pPr>
          </w:p>
          <w:p w:rsidR="00FF2E52">
            <w:pPr>
              <w:jc w:val="both"/>
            </w:pPr>
          </w:p>
        </w:tc>
        <w:tc>
          <w:tcPr>
            <w:tcW w:w="5760" w:type="dxa"/>
          </w:tcPr>
          <w:p w:rsidR="00FF2E52">
            <w:pPr>
              <w:jc w:val="both"/>
            </w:pPr>
          </w:p>
        </w:tc>
      </w:tr>
      <w:tr>
        <w:tblPrEx>
          <w:tblW w:w="4820" w:type="pct"/>
          <w:tblInd w:w="6" w:type="dxa"/>
          <w:tblLayout w:type="fixed"/>
          <w:tblCellMar>
            <w:left w:w="0" w:type="dxa"/>
            <w:bottom w:w="288" w:type="dxa"/>
            <w:right w:w="720" w:type="dxa"/>
          </w:tblCellMar>
          <w:tblLook w:val="01E0"/>
        </w:tblPrEx>
        <w:tc>
          <w:tcPr>
            <w:tcW w:w="6473" w:type="dxa"/>
          </w:tcPr>
          <w:p w:rsidR="00FF2E52">
            <w:pPr>
              <w:jc w:val="both"/>
            </w:pPr>
            <w:r>
              <w:t>SECTION 3.  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FF2E52">
            <w:pPr>
              <w:jc w:val="both"/>
            </w:pPr>
          </w:p>
        </w:tc>
        <w:tc>
          <w:tcPr>
            <w:tcW w:w="6480" w:type="dxa"/>
          </w:tcPr>
          <w:p w:rsidR="00FF2E52">
            <w:pPr>
              <w:jc w:val="both"/>
            </w:pPr>
            <w:r>
              <w:t>SECTION 2. Same as House version.</w:t>
            </w:r>
          </w:p>
          <w:p w:rsidR="00FF2E52">
            <w:pPr>
              <w:jc w:val="both"/>
            </w:pPr>
          </w:p>
          <w:p w:rsidR="00FF2E52">
            <w:pPr>
              <w:jc w:val="both"/>
            </w:pPr>
          </w:p>
        </w:tc>
        <w:tc>
          <w:tcPr>
            <w:tcW w:w="5760" w:type="dxa"/>
          </w:tcPr>
          <w:p w:rsidR="00FF2E52">
            <w:pPr>
              <w:jc w:val="both"/>
            </w:pPr>
          </w:p>
        </w:tc>
      </w:tr>
      <w:tr>
        <w:tblPrEx>
          <w:tblW w:w="4820" w:type="pct"/>
          <w:tblInd w:w="6" w:type="dxa"/>
          <w:tblLayout w:type="fixed"/>
          <w:tblCellMar>
            <w:left w:w="0" w:type="dxa"/>
            <w:bottom w:w="288" w:type="dxa"/>
            <w:right w:w="720" w:type="dxa"/>
          </w:tblCellMar>
          <w:tblLook w:val="01E0"/>
        </w:tblPrEx>
        <w:tc>
          <w:tcPr>
            <w:tcW w:w="6473" w:type="dxa"/>
          </w:tcPr>
          <w:p w:rsidR="00FF2E52">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FF2E52">
            <w:pPr>
              <w:jc w:val="both"/>
            </w:pPr>
          </w:p>
        </w:tc>
        <w:tc>
          <w:tcPr>
            <w:tcW w:w="6480" w:type="dxa"/>
          </w:tcPr>
          <w:p w:rsidR="00FF2E52">
            <w:pPr>
              <w:jc w:val="both"/>
            </w:pPr>
            <w:r>
              <w:t>SECTION 3. Same as House version.</w:t>
            </w:r>
          </w:p>
          <w:p w:rsidR="00FF2E52">
            <w:pPr>
              <w:jc w:val="both"/>
            </w:pPr>
          </w:p>
          <w:p w:rsidR="00FF2E52">
            <w:pPr>
              <w:jc w:val="both"/>
            </w:pPr>
          </w:p>
        </w:tc>
        <w:tc>
          <w:tcPr>
            <w:tcW w:w="5760" w:type="dxa"/>
          </w:tcPr>
          <w:p w:rsidR="00FF2E52">
            <w:pPr>
              <w:jc w:val="both"/>
            </w:pPr>
          </w:p>
        </w:tc>
      </w:tr>
    </w:tbl>
    <w:p w:rsidR="00D53B24"/>
    <w:sectPr w:rsidSect="00FF2E5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E52">
    <w:pPr>
      <w:tabs>
        <w:tab w:val="center" w:pos="9360"/>
        <w:tab w:val="right" w:pos="18720"/>
      </w:tabs>
    </w:pPr>
    <w:r>
      <w:fldChar w:fldCharType="begin"/>
    </w:r>
    <w:r>
      <w:instrText xml:space="preserve"> DOCPROPERTY  CCRF  \* MERGEFORMAT </w:instrText>
    </w:r>
    <w:r>
      <w:fldChar w:fldCharType="separate"/>
    </w:r>
    <w:r w:rsidR="00247E36">
      <w:t xml:space="preserve"> </w:t>
    </w:r>
    <w:r w:rsidR="00247E36">
      <w:fldChar w:fldCharType="end"/>
    </w:r>
    <w:r w:rsidR="00562C34">
      <w:tab/>
    </w:r>
    <w:r>
      <w:fldChar w:fldCharType="begin"/>
    </w:r>
    <w:r w:rsidR="00562C34">
      <w:instrText xml:space="preserve"> PAGE </w:instrText>
    </w:r>
    <w:r>
      <w:fldChar w:fldCharType="separate"/>
    </w:r>
    <w:r w:rsidR="00562C34">
      <w:t>2</w:t>
    </w:r>
    <w:r>
      <w:fldChar w:fldCharType="end"/>
    </w:r>
    <w:r w:rsidR="00562C34">
      <w:tab/>
    </w:r>
    <w:r>
      <w:fldChar w:fldCharType="begin"/>
    </w:r>
    <w:r>
      <w:instrText xml:space="preserve"> DOCPROPERTY  OTID  \* MERGEFORMAT </w:instrText>
    </w:r>
    <w:r>
      <w:fldChar w:fldCharType="separate"/>
    </w:r>
    <w:r w:rsidR="00247E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52"/>
    <w:rsid w:val="00247E36"/>
    <w:rsid w:val="00562C34"/>
    <w:rsid w:val="0062759E"/>
    <w:rsid w:val="00B80A6A"/>
    <w:rsid w:val="00D53B24"/>
    <w:rsid w:val="00FF2E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795CF1-394A-41C2-A0C2-627D43E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36"/>
    <w:pPr>
      <w:tabs>
        <w:tab w:val="center" w:pos="4680"/>
        <w:tab w:val="right" w:pos="9360"/>
      </w:tabs>
    </w:pPr>
  </w:style>
  <w:style w:type="character" w:customStyle="1" w:styleId="HeaderChar">
    <w:name w:val="Header Char"/>
    <w:basedOn w:val="DefaultParagraphFont"/>
    <w:link w:val="Header"/>
    <w:uiPriority w:val="99"/>
    <w:rsid w:val="00247E36"/>
    <w:rPr>
      <w:sz w:val="22"/>
    </w:rPr>
  </w:style>
  <w:style w:type="paragraph" w:styleId="Footer">
    <w:name w:val="footer"/>
    <w:basedOn w:val="Normal"/>
    <w:link w:val="FooterChar"/>
    <w:uiPriority w:val="99"/>
    <w:unhideWhenUsed/>
    <w:rsid w:val="00247E36"/>
    <w:pPr>
      <w:tabs>
        <w:tab w:val="center" w:pos="4680"/>
        <w:tab w:val="right" w:pos="9360"/>
      </w:tabs>
    </w:pPr>
  </w:style>
  <w:style w:type="character" w:customStyle="1" w:styleId="FooterChar">
    <w:name w:val="Footer Char"/>
    <w:basedOn w:val="DefaultParagraphFont"/>
    <w:link w:val="Footer"/>
    <w:uiPriority w:val="99"/>
    <w:rsid w:val="00247E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2</Pages>
  <Words>307</Words>
  <Characters>1611</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HB2168-SAA</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HB2168-SAA</dc:title>
  <dc:creator>Logan Moore</dc:creator>
  <cp:lastModifiedBy>Barrett McPhaul</cp:lastModifiedBy>
  <cp:revision>2</cp:revision>
  <dcterms:created xsi:type="dcterms:W3CDTF">2021-05-26T02:59:00Z</dcterms:created>
  <dcterms:modified xsi:type="dcterms:W3CDTF">2021-05-26T02:59:00Z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