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F73A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E5196">
            <w:pPr>
              <w:ind w:left="650"/>
              <w:jc w:val="center"/>
            </w:pPr>
            <w:r>
              <w:rPr>
                <w:b/>
              </w:rPr>
              <w:t>House Bill  2357</w:t>
            </w:r>
          </w:p>
          <w:p w:rsidR="00CE5196">
            <w:pPr>
              <w:ind w:left="650"/>
              <w:jc w:val="center"/>
            </w:pPr>
            <w:r>
              <w:t>Senate Amendments</w:t>
            </w:r>
          </w:p>
          <w:p w:rsidR="00CE5196">
            <w:pPr>
              <w:ind w:left="650"/>
              <w:jc w:val="center"/>
            </w:pPr>
            <w:r>
              <w:t>Section-by-Section Analysis</w:t>
            </w:r>
          </w:p>
          <w:p w:rsidR="00CE519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E5196">
            <w:pPr>
              <w:jc w:val="center"/>
            </w:pPr>
            <w:r>
              <w:t>HOUSE VERSION</w:t>
            </w:r>
          </w:p>
        </w:tc>
        <w:tc>
          <w:tcPr>
            <w:tcW w:w="1667" w:type="pct"/>
            <w:tcMar>
              <w:bottom w:w="188" w:type="dxa"/>
              <w:right w:w="0" w:type="dxa"/>
            </w:tcMar>
          </w:tcPr>
          <w:p w:rsidR="00CE5196">
            <w:pPr>
              <w:jc w:val="center"/>
            </w:pPr>
            <w:r>
              <w:t>SENATE VERSION (IE)</w:t>
            </w:r>
          </w:p>
        </w:tc>
        <w:tc>
          <w:tcPr>
            <w:tcW w:w="1667" w:type="pct"/>
            <w:tcMar>
              <w:bottom w:w="188" w:type="dxa"/>
              <w:right w:w="0" w:type="dxa"/>
            </w:tcMar>
          </w:tcPr>
          <w:p w:rsidR="00CE519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CE5196">
            <w:pPr>
              <w:jc w:val="both"/>
            </w:pPr>
            <w:r w:rsidRPr="005F73A2">
              <w:rPr>
                <w:highlight w:val="lightGray"/>
              </w:rPr>
              <w:t>No equivalent provision.</w:t>
            </w:r>
          </w:p>
          <w:p w:rsidR="00CE5196">
            <w:pPr>
              <w:jc w:val="both"/>
            </w:pPr>
          </w:p>
        </w:tc>
        <w:tc>
          <w:tcPr>
            <w:tcW w:w="6480" w:type="dxa"/>
          </w:tcPr>
          <w:p w:rsidR="00CE5196">
            <w:pPr>
              <w:jc w:val="both"/>
            </w:pPr>
            <w:r>
              <w:t>SECTION __.</w:t>
            </w:r>
            <w:r w:rsidR="00086927">
              <w:t xml:space="preserve"> </w:t>
            </w:r>
            <w:r>
              <w:t>Section 11, Article 49.25, Code of Criminal Procedure, is amended by adding Subsection (c) to read as follows:</w:t>
            </w:r>
          </w:p>
          <w:p w:rsidR="00CE5196">
            <w:pPr>
              <w:jc w:val="both"/>
            </w:pPr>
            <w:r>
              <w:rPr>
                <w:u w:val="single"/>
              </w:rPr>
              <w:t>(c) The medical examiner may release a copy of an autopsy report of a deceased person to any organ and tissue procurement organization, hospital, or other covered entity as defined by Section</w:t>
            </w:r>
            <w:r>
              <w:rPr>
                <w:u w:val="single"/>
              </w:rPr>
              <w:t xml:space="preserve"> 181.001, Health and Safety Code, that treated the deceased person before death or procured any anatomical gift from the body of the deceased person. The release of a report under this subsection is not considered a disclosure under Chapter 552, Government Code. A report obtained under this subsection is confidential and not subject to disclosure under Chapter 552, Government Code.</w:t>
            </w:r>
            <w:r>
              <w:t xml:space="preserve">  [FA1]</w:t>
            </w:r>
          </w:p>
          <w:p w:rsidR="00CE5196">
            <w:pPr>
              <w:jc w:val="both"/>
            </w:pPr>
          </w:p>
        </w:tc>
        <w:tc>
          <w:tcPr>
            <w:tcW w:w="5760" w:type="dxa"/>
          </w:tcPr>
          <w:p w:rsidR="00CE5196">
            <w:pPr>
              <w:jc w:val="both"/>
            </w:pPr>
          </w:p>
        </w:tc>
      </w:tr>
      <w:tr>
        <w:tblPrEx>
          <w:tblW w:w="4820" w:type="pct"/>
          <w:tblInd w:w="6" w:type="dxa"/>
          <w:tblLayout w:type="fixed"/>
          <w:tblCellMar>
            <w:left w:w="0" w:type="dxa"/>
            <w:bottom w:w="288" w:type="dxa"/>
            <w:right w:w="720" w:type="dxa"/>
          </w:tblCellMar>
          <w:tblLook w:val="01E0"/>
        </w:tblPrEx>
        <w:tc>
          <w:tcPr>
            <w:tcW w:w="6473" w:type="dxa"/>
          </w:tcPr>
          <w:p w:rsidR="00CE5196">
            <w:pPr>
              <w:jc w:val="both"/>
            </w:pPr>
            <w:r>
              <w:t>SECTION 1.  Subchapter C, Chapter 552, Government Code, is amended by adding Section 552.1315 to read as follows:</w:t>
            </w:r>
          </w:p>
          <w:p w:rsidR="00CE5196">
            <w:pPr>
              <w:jc w:val="both"/>
            </w:pPr>
            <w:r>
              <w:rPr>
                <w:u w:val="single"/>
              </w:rPr>
              <w:t>Sec. 552.1315.  EXCEPTION: CONFIDENTIALITY OF CERTAIN CRIME VICTIM RECORDS.  (a)  Information is confidential and excepted from the requirements of Section 552.021 if the information identifies an individual as:</w:t>
            </w:r>
          </w:p>
          <w:p w:rsidR="00CE5196">
            <w:pPr>
              <w:jc w:val="both"/>
            </w:pPr>
            <w:r>
              <w:rPr>
                <w:u w:val="single"/>
              </w:rPr>
              <w:t>(1)  a victim of:</w:t>
            </w:r>
          </w:p>
          <w:p w:rsidR="00CE5196">
            <w:pPr>
              <w:jc w:val="both"/>
            </w:pPr>
            <w:r>
              <w:rPr>
                <w:u w:val="single"/>
              </w:rPr>
              <w:t>(A)  an offense under Section 20A.02, 20A.03, 21.02, 21.11, 22.011, 22.021, 43.05, or 43.25, Penal Code; or</w:t>
            </w:r>
          </w:p>
          <w:p w:rsidR="00CE5196">
            <w:pPr>
              <w:jc w:val="both"/>
            </w:pPr>
            <w:r>
              <w:rPr>
                <w:u w:val="single"/>
              </w:rPr>
              <w:t>(B)  an offense that is part of the same criminal episode, as defined by Section 3.01, Penal Code, as an offense described by Paragraph (A); or</w:t>
            </w:r>
          </w:p>
          <w:p w:rsidR="00CE5196">
            <w:pPr>
              <w:jc w:val="both"/>
            </w:pPr>
            <w:r>
              <w:rPr>
                <w:u w:val="single"/>
              </w:rPr>
              <w:t>(2)  a victim of any criminal offense, if the victim was younger than 18 years of age when any element of the offense was committed.</w:t>
            </w:r>
          </w:p>
          <w:p w:rsidR="00CE5196">
            <w:pPr>
              <w:jc w:val="both"/>
            </w:pPr>
            <w:r>
              <w:rPr>
                <w:u w:val="single"/>
              </w:rPr>
              <w:t>(b)  Notwithstanding Subsection (a), information under this section may be disclosed:</w:t>
            </w:r>
          </w:p>
          <w:p w:rsidR="00CE5196">
            <w:pPr>
              <w:jc w:val="both"/>
            </w:pPr>
            <w:r>
              <w:rPr>
                <w:u w:val="single"/>
              </w:rPr>
              <w:t>(1)  to any victim identified by the information, or to the parent or guardian of a victim described by Subsection (a)(2) who is identified by the information;</w:t>
            </w:r>
          </w:p>
          <w:p w:rsidR="00CE5196">
            <w:pPr>
              <w:jc w:val="both"/>
            </w:pPr>
            <w:r>
              <w:rPr>
                <w:u w:val="single"/>
              </w:rPr>
              <w:t>(2)  to a law enforcement agency for investigative purposes; or</w:t>
            </w:r>
          </w:p>
          <w:p w:rsidR="00CE5196">
            <w:pPr>
              <w:jc w:val="both"/>
            </w:pPr>
            <w:r>
              <w:rPr>
                <w:u w:val="single"/>
              </w:rPr>
              <w:t>(3)  in accordance with a court order requiring the disclosure.</w:t>
            </w:r>
          </w:p>
          <w:p w:rsidR="00CE5196">
            <w:pPr>
              <w:jc w:val="both"/>
            </w:pPr>
          </w:p>
        </w:tc>
        <w:tc>
          <w:tcPr>
            <w:tcW w:w="6480" w:type="dxa"/>
          </w:tcPr>
          <w:p w:rsidR="00CE5196">
            <w:pPr>
              <w:jc w:val="both"/>
            </w:pPr>
            <w:r>
              <w:t>SECTION 1. Same as House version.</w:t>
            </w:r>
          </w:p>
          <w:p w:rsidR="00CE5196">
            <w:pPr>
              <w:jc w:val="both"/>
            </w:pPr>
          </w:p>
          <w:p w:rsidR="00CE5196">
            <w:pPr>
              <w:jc w:val="both"/>
            </w:pPr>
          </w:p>
        </w:tc>
        <w:tc>
          <w:tcPr>
            <w:tcW w:w="5760" w:type="dxa"/>
          </w:tcPr>
          <w:p w:rsidR="00CE5196">
            <w:pPr>
              <w:jc w:val="both"/>
            </w:pPr>
          </w:p>
        </w:tc>
      </w:tr>
      <w:tr>
        <w:tblPrEx>
          <w:tblW w:w="4820" w:type="pct"/>
          <w:tblInd w:w="6" w:type="dxa"/>
          <w:tblLayout w:type="fixed"/>
          <w:tblCellMar>
            <w:left w:w="0" w:type="dxa"/>
            <w:bottom w:w="288" w:type="dxa"/>
            <w:right w:w="720" w:type="dxa"/>
          </w:tblCellMar>
          <w:tblLook w:val="01E0"/>
        </w:tblPrEx>
        <w:tc>
          <w:tcPr>
            <w:tcW w:w="6473" w:type="dxa"/>
          </w:tcPr>
          <w:p w:rsidR="00CE5196">
            <w:pPr>
              <w:jc w:val="both"/>
            </w:pPr>
            <w:r>
              <w:t>SECTION 2.  The change in law made by this Act applies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CE5196">
            <w:pPr>
              <w:jc w:val="both"/>
            </w:pPr>
          </w:p>
        </w:tc>
        <w:tc>
          <w:tcPr>
            <w:tcW w:w="6480" w:type="dxa"/>
          </w:tcPr>
          <w:p w:rsidR="00CE5196">
            <w:pPr>
              <w:jc w:val="both"/>
            </w:pPr>
            <w:r>
              <w:t>SECTION 2. Same as House version.</w:t>
            </w:r>
          </w:p>
          <w:p w:rsidR="00CE5196">
            <w:pPr>
              <w:jc w:val="both"/>
            </w:pPr>
          </w:p>
          <w:p w:rsidR="00CE5196">
            <w:pPr>
              <w:jc w:val="both"/>
            </w:pPr>
          </w:p>
        </w:tc>
        <w:tc>
          <w:tcPr>
            <w:tcW w:w="5760" w:type="dxa"/>
          </w:tcPr>
          <w:p w:rsidR="00CE5196">
            <w:pPr>
              <w:jc w:val="both"/>
            </w:pPr>
          </w:p>
        </w:tc>
      </w:tr>
      <w:tr>
        <w:tblPrEx>
          <w:tblW w:w="4820" w:type="pct"/>
          <w:tblInd w:w="6" w:type="dxa"/>
          <w:tblLayout w:type="fixed"/>
          <w:tblCellMar>
            <w:left w:w="0" w:type="dxa"/>
            <w:bottom w:w="288" w:type="dxa"/>
            <w:right w:w="720" w:type="dxa"/>
          </w:tblCellMar>
          <w:tblLook w:val="01E0"/>
        </w:tblPrEx>
        <w:tc>
          <w:tcPr>
            <w:tcW w:w="6473" w:type="dxa"/>
          </w:tcPr>
          <w:p w:rsidR="00CE5196">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CE5196">
            <w:pPr>
              <w:jc w:val="both"/>
            </w:pPr>
          </w:p>
        </w:tc>
        <w:tc>
          <w:tcPr>
            <w:tcW w:w="6480" w:type="dxa"/>
          </w:tcPr>
          <w:p w:rsidR="00CE5196">
            <w:pPr>
              <w:jc w:val="both"/>
            </w:pPr>
            <w:r>
              <w:t>SECTION 3. Same as House version.</w:t>
            </w:r>
          </w:p>
          <w:p w:rsidR="00CE5196">
            <w:pPr>
              <w:jc w:val="both"/>
            </w:pPr>
          </w:p>
          <w:p w:rsidR="00CE5196">
            <w:pPr>
              <w:jc w:val="both"/>
            </w:pPr>
          </w:p>
        </w:tc>
        <w:tc>
          <w:tcPr>
            <w:tcW w:w="5760" w:type="dxa"/>
          </w:tcPr>
          <w:p w:rsidR="00CE5196">
            <w:pPr>
              <w:jc w:val="both"/>
            </w:pPr>
          </w:p>
        </w:tc>
      </w:tr>
    </w:tbl>
    <w:p w:rsidR="0064310D"/>
    <w:sectPr w:rsidSect="00CE519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196">
    <w:pPr>
      <w:tabs>
        <w:tab w:val="center" w:pos="9360"/>
        <w:tab w:val="right" w:pos="18720"/>
      </w:tabs>
    </w:pPr>
    <w:r>
      <w:fldChar w:fldCharType="begin"/>
    </w:r>
    <w:r>
      <w:instrText xml:space="preserve"> DOCPROPERTY  CCRF  \* MERGEFORMAT </w:instrText>
    </w:r>
    <w:r>
      <w:fldChar w:fldCharType="separate"/>
    </w:r>
    <w:r w:rsidR="00086927">
      <w:t xml:space="preserve"> </w:t>
    </w:r>
    <w:r w:rsidR="00086927">
      <w:fldChar w:fldCharType="end"/>
    </w:r>
    <w:r w:rsidR="00B70084">
      <w:tab/>
    </w:r>
    <w:r>
      <w:fldChar w:fldCharType="begin"/>
    </w:r>
    <w:r w:rsidR="00B70084">
      <w:instrText xml:space="preserve"> PAGE </w:instrText>
    </w:r>
    <w:r>
      <w:fldChar w:fldCharType="separate"/>
    </w:r>
    <w:r w:rsidR="00B70084">
      <w:t>2</w:t>
    </w:r>
    <w:r>
      <w:fldChar w:fldCharType="end"/>
    </w:r>
    <w:r w:rsidR="00B70084">
      <w:tab/>
    </w:r>
    <w:r>
      <w:fldChar w:fldCharType="begin"/>
    </w:r>
    <w:r>
      <w:instrText xml:space="preserve"> DOCPROPERTY  OTID  \* MERGEFORMAT </w:instrText>
    </w:r>
    <w:r>
      <w:fldChar w:fldCharType="separate"/>
    </w:r>
    <w:r w:rsidR="0008692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96"/>
    <w:rsid w:val="00086927"/>
    <w:rsid w:val="005F73A2"/>
    <w:rsid w:val="0064310D"/>
    <w:rsid w:val="00B70084"/>
    <w:rsid w:val="00CE51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D0F3895-8D39-4E2E-9782-552EEA9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27"/>
    <w:pPr>
      <w:tabs>
        <w:tab w:val="center" w:pos="4680"/>
        <w:tab w:val="right" w:pos="9360"/>
      </w:tabs>
    </w:pPr>
  </w:style>
  <w:style w:type="character" w:customStyle="1" w:styleId="HeaderChar">
    <w:name w:val="Header Char"/>
    <w:basedOn w:val="DefaultParagraphFont"/>
    <w:link w:val="Header"/>
    <w:uiPriority w:val="99"/>
    <w:rsid w:val="00086927"/>
    <w:rPr>
      <w:sz w:val="22"/>
    </w:rPr>
  </w:style>
  <w:style w:type="paragraph" w:styleId="Footer">
    <w:name w:val="footer"/>
    <w:basedOn w:val="Normal"/>
    <w:link w:val="FooterChar"/>
    <w:uiPriority w:val="99"/>
    <w:unhideWhenUsed/>
    <w:rsid w:val="00086927"/>
    <w:pPr>
      <w:tabs>
        <w:tab w:val="center" w:pos="4680"/>
        <w:tab w:val="right" w:pos="9360"/>
      </w:tabs>
    </w:pPr>
  </w:style>
  <w:style w:type="character" w:customStyle="1" w:styleId="FooterChar">
    <w:name w:val="Footer Char"/>
    <w:basedOn w:val="DefaultParagraphFont"/>
    <w:link w:val="Footer"/>
    <w:uiPriority w:val="99"/>
    <w:rsid w:val="000869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450</Words>
  <Characters>2291</Characters>
  <Application>Microsoft Office Word</Application>
  <DocSecurity>0</DocSecurity>
  <Lines>73</Lines>
  <Paragraphs>24</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HB2357-SAA</dc:title>
  <dc:creator>Michael Hankins</dc:creator>
  <cp:lastModifiedBy>Kelly Thomas</cp:lastModifiedBy>
  <cp:revision>2</cp:revision>
  <dcterms:created xsi:type="dcterms:W3CDTF">2021-05-27T13:45:00Z</dcterms:created>
  <dcterms:modified xsi:type="dcterms:W3CDTF">2021-05-27T13:45:00Z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