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D6F7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D721F">
            <w:pPr>
              <w:ind w:left="650"/>
              <w:jc w:val="center"/>
            </w:pPr>
            <w:r>
              <w:rPr>
                <w:b/>
              </w:rPr>
              <w:t>House Bill  2382</w:t>
            </w:r>
          </w:p>
          <w:p w:rsidR="008D721F">
            <w:pPr>
              <w:ind w:left="650"/>
              <w:jc w:val="center"/>
            </w:pPr>
            <w:r>
              <w:t>Senate Amendments</w:t>
            </w:r>
          </w:p>
          <w:p w:rsidR="008D721F">
            <w:pPr>
              <w:ind w:left="650"/>
              <w:jc w:val="center"/>
            </w:pPr>
            <w:r>
              <w:t>Section-by-Section Analysis</w:t>
            </w:r>
          </w:p>
          <w:p w:rsidR="008D721F">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D721F">
            <w:pPr>
              <w:jc w:val="center"/>
            </w:pPr>
            <w:r>
              <w:t>HOUSE VERSION</w:t>
            </w:r>
          </w:p>
        </w:tc>
        <w:tc>
          <w:tcPr>
            <w:tcW w:w="1667" w:type="pct"/>
            <w:tcMar>
              <w:bottom w:w="188" w:type="dxa"/>
              <w:right w:w="0" w:type="dxa"/>
            </w:tcMar>
          </w:tcPr>
          <w:p w:rsidR="008D721F">
            <w:pPr>
              <w:jc w:val="center"/>
            </w:pPr>
            <w:r>
              <w:t>SENATE VERSION (CS)</w:t>
            </w:r>
          </w:p>
        </w:tc>
        <w:tc>
          <w:tcPr>
            <w:tcW w:w="1667" w:type="pct"/>
            <w:tcMar>
              <w:bottom w:w="188" w:type="dxa"/>
              <w:right w:w="0" w:type="dxa"/>
            </w:tcMar>
          </w:tcPr>
          <w:p w:rsidR="008D721F">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8D721F">
            <w:pPr>
              <w:jc w:val="both"/>
            </w:pPr>
            <w:r>
              <w:t>SECTION 1.  Subchapter C, Chapter 281, Health and Safety Code, is amended by adding Section 281.060 to read as follows:</w:t>
            </w:r>
          </w:p>
          <w:p w:rsidR="008D721F">
            <w:pPr>
              <w:jc w:val="both"/>
            </w:pPr>
            <w:r>
              <w:rPr>
                <w:u w:val="single"/>
              </w:rPr>
              <w:t>Sec. 281.060.  EL PASO COUNTY HOSPITAL DISTRICT; BROKER AGREEMENTS AND FEES FOR SALE OF REAL PROPERTY.  (a)  In this section:</w:t>
            </w:r>
          </w:p>
          <w:p w:rsidR="008D721F">
            <w:pPr>
              <w:jc w:val="both"/>
            </w:pPr>
            <w:r>
              <w:rPr>
                <w:u w:val="single"/>
              </w:rPr>
              <w:t>(1)  "Broker" means a person licensed as a broker under Chapter 1101, Occupations Code.</w:t>
            </w:r>
          </w:p>
          <w:p w:rsidR="008D721F">
            <w:pPr>
              <w:jc w:val="both"/>
            </w:pPr>
            <w:r>
              <w:rPr>
                <w:u w:val="single"/>
              </w:rPr>
              <w:t>(2)  "District" means the El Paso County Hospital District.</w:t>
            </w:r>
          </w:p>
          <w:p w:rsidR="008D721F">
            <w:pPr>
              <w:jc w:val="both"/>
            </w:pPr>
            <w:r>
              <w:rPr>
                <w:u w:val="single"/>
              </w:rPr>
              <w:t>(b)  Except as provided by Subsection (c), the El Paso County Hospital District may contract with a broker to sell a tract of real property that is owned by the district.</w:t>
            </w:r>
          </w:p>
          <w:p w:rsidR="008D721F">
            <w:pPr>
              <w:jc w:val="both"/>
            </w:pPr>
            <w:r>
              <w:rPr>
                <w:u w:val="single"/>
              </w:rPr>
              <w:t>(c)  The district may not contract with a broker who is related within the third degree of consanguinity, as determined under Chapter 573, Government Code, to:</w:t>
            </w:r>
          </w:p>
          <w:p w:rsidR="008D721F">
            <w:pPr>
              <w:jc w:val="both"/>
            </w:pPr>
            <w:r>
              <w:rPr>
                <w:u w:val="single"/>
              </w:rPr>
              <w:t>(1)  a member of the board of hospital managers of the district; or</w:t>
            </w:r>
          </w:p>
          <w:p w:rsidR="008D721F">
            <w:pPr>
              <w:jc w:val="both"/>
            </w:pPr>
            <w:r>
              <w:rPr>
                <w:u w:val="single"/>
              </w:rPr>
              <w:t>(2)  a public official who serves on the El Paso County Commissioners Court.</w:t>
            </w:r>
          </w:p>
          <w:p w:rsidR="008D721F">
            <w:pPr>
              <w:jc w:val="both"/>
            </w:pPr>
            <w:r>
              <w:rPr>
                <w:u w:val="single"/>
              </w:rPr>
              <w:t>(d)  The district may pay a fee if a broker produces a ready, willing, and able buyer to purchase a tract of real property.</w:t>
            </w:r>
          </w:p>
          <w:p w:rsidR="008D721F">
            <w:pPr>
              <w:jc w:val="both"/>
            </w:pPr>
            <w:r>
              <w:rPr>
                <w:u w:val="single"/>
              </w:rPr>
              <w:t>(e)  If a contract made under Subsection (b) requires a broker to list the tract of real property for sale for at least 30 days with a multiple-listing service used by other brokers in the county in which the real property is located, the district, on or after the 30th day after the date the property is listed, may sell the tract of real property to a ready, willing, and able buyer who is produced by any broker, including a broker described by Subsection (c), using the multiple-listing service and who submits the most advantageous offer.</w:t>
            </w:r>
          </w:p>
          <w:p w:rsidR="008D721F">
            <w:pPr>
              <w:jc w:val="both"/>
            </w:pPr>
            <w:r>
              <w:rPr>
                <w:u w:val="single"/>
              </w:rPr>
              <w:t xml:space="preserve">(f)  The district must post a notice of intent to sell the real property in a newspaper of general circulation, not less than </w:t>
            </w:r>
            <w:r>
              <w:rPr>
                <w:u w:val="single"/>
              </w:rPr>
              <w:t>once, at least 14 days before the date the district accepts an offer produced by a broker.</w:t>
            </w:r>
          </w:p>
          <w:p w:rsidR="008D721F">
            <w:pPr>
              <w:jc w:val="both"/>
            </w:pPr>
            <w:r>
              <w:rPr>
                <w:u w:val="single"/>
              </w:rPr>
              <w:t>(g)  The district may sell a tract of real property under this section without complying with the requirements of Section 272.001, Local Government Code.</w:t>
            </w:r>
          </w:p>
          <w:p w:rsidR="008D721F">
            <w:pPr>
              <w:jc w:val="both"/>
            </w:pPr>
          </w:p>
        </w:tc>
        <w:tc>
          <w:tcPr>
            <w:tcW w:w="6480" w:type="dxa"/>
          </w:tcPr>
          <w:p w:rsidR="008D721F">
            <w:pPr>
              <w:jc w:val="both"/>
            </w:pPr>
            <w:r>
              <w:t>SECTION 1. Same as House version.</w:t>
            </w:r>
          </w:p>
          <w:p w:rsidR="008D721F">
            <w:pPr>
              <w:jc w:val="both"/>
            </w:pPr>
          </w:p>
          <w:p w:rsidR="008D721F">
            <w:pPr>
              <w:jc w:val="both"/>
            </w:pPr>
          </w:p>
        </w:tc>
        <w:tc>
          <w:tcPr>
            <w:tcW w:w="5760" w:type="dxa"/>
          </w:tcPr>
          <w:p w:rsidR="008D721F">
            <w:pPr>
              <w:jc w:val="both"/>
            </w:pPr>
          </w:p>
        </w:tc>
      </w:tr>
      <w:tr>
        <w:tblPrEx>
          <w:tblW w:w="4820" w:type="pct"/>
          <w:tblInd w:w="6" w:type="dxa"/>
          <w:tblLayout w:type="fixed"/>
          <w:tblCellMar>
            <w:left w:w="0" w:type="dxa"/>
            <w:bottom w:w="288" w:type="dxa"/>
            <w:right w:w="720" w:type="dxa"/>
          </w:tblCellMar>
          <w:tblLook w:val="01E0"/>
        </w:tblPrEx>
        <w:tc>
          <w:tcPr>
            <w:tcW w:w="6473" w:type="dxa"/>
          </w:tcPr>
          <w:p w:rsidR="008D721F">
            <w:pPr>
              <w:jc w:val="both"/>
            </w:pPr>
            <w:r w:rsidRPr="003D6F76">
              <w:rPr>
                <w:highlight w:val="lightGray"/>
              </w:rPr>
              <w:t>No equivalent provision.</w:t>
            </w:r>
          </w:p>
          <w:p w:rsidR="008D721F">
            <w:pPr>
              <w:jc w:val="both"/>
            </w:pPr>
          </w:p>
        </w:tc>
        <w:tc>
          <w:tcPr>
            <w:tcW w:w="6480" w:type="dxa"/>
          </w:tcPr>
          <w:p w:rsidR="008D721F">
            <w:pPr>
              <w:jc w:val="both"/>
            </w:pPr>
            <w:r>
              <w:t>SECTION 2.  Section 281.0221, Health and Safety Code, is repealed.</w:t>
            </w:r>
          </w:p>
          <w:p w:rsidR="008D721F">
            <w:pPr>
              <w:jc w:val="both"/>
            </w:pPr>
          </w:p>
        </w:tc>
        <w:tc>
          <w:tcPr>
            <w:tcW w:w="5760" w:type="dxa"/>
          </w:tcPr>
          <w:p w:rsidR="008D721F">
            <w:pPr>
              <w:jc w:val="both"/>
            </w:pPr>
          </w:p>
        </w:tc>
      </w:tr>
      <w:tr>
        <w:tblPrEx>
          <w:tblW w:w="4820" w:type="pct"/>
          <w:tblInd w:w="6" w:type="dxa"/>
          <w:tblLayout w:type="fixed"/>
          <w:tblCellMar>
            <w:left w:w="0" w:type="dxa"/>
            <w:bottom w:w="288" w:type="dxa"/>
            <w:right w:w="720" w:type="dxa"/>
          </w:tblCellMar>
          <w:tblLook w:val="01E0"/>
        </w:tblPrEx>
        <w:tc>
          <w:tcPr>
            <w:tcW w:w="6473" w:type="dxa"/>
          </w:tcPr>
          <w:p w:rsidR="008D721F">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8D721F">
            <w:pPr>
              <w:jc w:val="both"/>
            </w:pPr>
          </w:p>
        </w:tc>
        <w:tc>
          <w:tcPr>
            <w:tcW w:w="6480" w:type="dxa"/>
          </w:tcPr>
          <w:p w:rsidR="008D721F">
            <w:pPr>
              <w:jc w:val="both"/>
            </w:pPr>
            <w:r>
              <w:t>SECTION 3. Same as House version.</w:t>
            </w:r>
          </w:p>
          <w:p w:rsidR="008D721F">
            <w:pPr>
              <w:jc w:val="both"/>
            </w:pPr>
          </w:p>
          <w:p w:rsidR="008D721F">
            <w:pPr>
              <w:jc w:val="both"/>
            </w:pPr>
          </w:p>
        </w:tc>
        <w:tc>
          <w:tcPr>
            <w:tcW w:w="5760" w:type="dxa"/>
          </w:tcPr>
          <w:p w:rsidR="008D721F">
            <w:pPr>
              <w:jc w:val="both"/>
            </w:pPr>
          </w:p>
        </w:tc>
      </w:tr>
    </w:tbl>
    <w:p w:rsidR="000D7FAB"/>
    <w:sectPr w:rsidSect="008D721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21F">
    <w:pPr>
      <w:tabs>
        <w:tab w:val="center" w:pos="9360"/>
        <w:tab w:val="right" w:pos="18720"/>
      </w:tabs>
    </w:pPr>
    <w:r>
      <w:fldChar w:fldCharType="begin"/>
    </w:r>
    <w:r>
      <w:instrText xml:space="preserve"> DOCPROPERTY  CCRF  \* MERGEFORMAT </w:instrText>
    </w:r>
    <w:r>
      <w:fldChar w:fldCharType="separate"/>
    </w:r>
    <w:r w:rsidR="005B21EF">
      <w:t xml:space="preserve"> </w:t>
    </w:r>
    <w:r w:rsidR="005B21EF">
      <w:fldChar w:fldCharType="end"/>
    </w:r>
    <w:r w:rsidR="008E2AA4">
      <w:tab/>
    </w:r>
    <w:r>
      <w:fldChar w:fldCharType="begin"/>
    </w:r>
    <w:r w:rsidR="008E2AA4">
      <w:instrText xml:space="preserve"> PAGE </w:instrText>
    </w:r>
    <w:r>
      <w:fldChar w:fldCharType="separate"/>
    </w:r>
    <w:r w:rsidR="008E2AA4">
      <w:t>2</w:t>
    </w:r>
    <w:r>
      <w:fldChar w:fldCharType="end"/>
    </w:r>
    <w:r w:rsidR="008E2AA4">
      <w:tab/>
    </w:r>
    <w:r>
      <w:fldChar w:fldCharType="begin"/>
    </w:r>
    <w:r>
      <w:instrText xml:space="preserve"> DOCPROPERTY  OTID  \* MERGEFORMAT </w:instrText>
    </w:r>
    <w:r>
      <w:fldChar w:fldCharType="separate"/>
    </w:r>
    <w:r w:rsidR="005B21E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B2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1F"/>
    <w:rsid w:val="000D7FAB"/>
    <w:rsid w:val="003B7B29"/>
    <w:rsid w:val="003D6F76"/>
    <w:rsid w:val="005B21EF"/>
    <w:rsid w:val="008D721F"/>
    <w:rsid w:val="008E2AA4"/>
    <w:rsid w:val="00DB5B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0B5B185-6951-4A0F-A885-F34E5A4F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29"/>
    <w:pPr>
      <w:tabs>
        <w:tab w:val="center" w:pos="4680"/>
        <w:tab w:val="right" w:pos="9360"/>
      </w:tabs>
    </w:pPr>
  </w:style>
  <w:style w:type="character" w:customStyle="1" w:styleId="HeaderChar">
    <w:name w:val="Header Char"/>
    <w:basedOn w:val="DefaultParagraphFont"/>
    <w:link w:val="Header"/>
    <w:uiPriority w:val="99"/>
    <w:rsid w:val="003B7B29"/>
    <w:rPr>
      <w:sz w:val="22"/>
    </w:rPr>
  </w:style>
  <w:style w:type="paragraph" w:styleId="Footer">
    <w:name w:val="footer"/>
    <w:basedOn w:val="Normal"/>
    <w:link w:val="FooterChar"/>
    <w:uiPriority w:val="99"/>
    <w:unhideWhenUsed/>
    <w:rsid w:val="003B7B29"/>
    <w:pPr>
      <w:tabs>
        <w:tab w:val="center" w:pos="4680"/>
        <w:tab w:val="right" w:pos="9360"/>
      </w:tabs>
    </w:pPr>
  </w:style>
  <w:style w:type="character" w:customStyle="1" w:styleId="FooterChar">
    <w:name w:val="Footer Char"/>
    <w:basedOn w:val="DefaultParagraphFont"/>
    <w:link w:val="Footer"/>
    <w:uiPriority w:val="99"/>
    <w:rsid w:val="003B7B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418</Words>
  <Characters>2037</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HB2382-SAA</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HB2382-SAA</dc:title>
  <dc:creator>Barrett McPhaul</dc:creator>
  <cp:lastModifiedBy>Kathleen Middleton</cp:lastModifiedBy>
  <cp:revision>2</cp:revision>
  <dcterms:created xsi:type="dcterms:W3CDTF">2021-05-24T20:08:00Z</dcterms:created>
  <dcterms:modified xsi:type="dcterms:W3CDTF">2021-05-24T20:08:00Z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