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F25F05">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D27E5B">
            <w:pPr>
              <w:ind w:left="650"/>
              <w:jc w:val="center"/>
            </w:pPr>
            <w:r>
              <w:rPr>
                <w:b/>
              </w:rPr>
              <w:t>House Bill  3571</w:t>
            </w:r>
          </w:p>
          <w:p w:rsidR="00D27E5B">
            <w:pPr>
              <w:ind w:left="650"/>
              <w:jc w:val="center"/>
            </w:pPr>
            <w:r>
              <w:t>Senate Amendments</w:t>
            </w:r>
          </w:p>
          <w:p w:rsidR="00D27E5B">
            <w:pPr>
              <w:ind w:left="650"/>
              <w:jc w:val="center"/>
            </w:pPr>
            <w:r>
              <w:t>Section-by-Section Analysis</w:t>
            </w:r>
          </w:p>
          <w:p w:rsidR="00D27E5B">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D27E5B">
            <w:pPr>
              <w:jc w:val="center"/>
            </w:pPr>
            <w:r>
              <w:t>HOUSE VERSION</w:t>
            </w:r>
          </w:p>
        </w:tc>
        <w:tc>
          <w:tcPr>
            <w:tcW w:w="1667" w:type="pct"/>
            <w:tcMar>
              <w:bottom w:w="188" w:type="dxa"/>
              <w:right w:w="0" w:type="dxa"/>
            </w:tcMar>
          </w:tcPr>
          <w:p w:rsidR="00D27E5B">
            <w:pPr>
              <w:jc w:val="center"/>
            </w:pPr>
            <w:r>
              <w:t>SENATE VERSION (IE)</w:t>
            </w:r>
          </w:p>
        </w:tc>
        <w:tc>
          <w:tcPr>
            <w:tcW w:w="1667" w:type="pct"/>
            <w:tcMar>
              <w:bottom w:w="188" w:type="dxa"/>
              <w:right w:w="0" w:type="dxa"/>
            </w:tcMar>
          </w:tcPr>
          <w:p w:rsidR="00D27E5B">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D27E5B">
            <w:pPr>
              <w:jc w:val="both"/>
            </w:pPr>
            <w:r>
              <w:t>SECTION 1.  Chapter 202, Property Code, is amended by adding Section 202.023 to read as follows:</w:t>
            </w:r>
          </w:p>
          <w:p w:rsidR="00F25F05">
            <w:pPr>
              <w:jc w:val="both"/>
              <w:rPr>
                <w:u w:val="single"/>
              </w:rPr>
            </w:pPr>
            <w:r w:rsidRPr="00CB4DD8">
              <w:rPr>
                <w:highlight w:val="lightGray"/>
                <w:u w:val="single"/>
              </w:rPr>
              <w:t>Sec. 202.023.  SECURITY MEASURES.</w:t>
            </w:r>
            <w:r>
              <w:rPr>
                <w:u w:val="single"/>
              </w:rPr>
              <w:t xml:space="preserve">  </w:t>
            </w:r>
          </w:p>
          <w:p w:rsidR="00F25F05">
            <w:pPr>
              <w:jc w:val="both"/>
              <w:rPr>
                <w:u w:val="single"/>
              </w:rPr>
            </w:pPr>
          </w:p>
          <w:p w:rsidR="00F25F05">
            <w:pPr>
              <w:jc w:val="both"/>
              <w:rPr>
                <w:u w:val="single"/>
              </w:rPr>
            </w:pPr>
          </w:p>
          <w:p w:rsidR="00F25F05">
            <w:pPr>
              <w:jc w:val="both"/>
              <w:rPr>
                <w:u w:val="single"/>
              </w:rPr>
            </w:pPr>
          </w:p>
          <w:p w:rsidR="00CB4DD8">
            <w:pPr>
              <w:jc w:val="both"/>
              <w:rPr>
                <w:u w:val="single"/>
              </w:rPr>
            </w:pPr>
          </w:p>
          <w:p w:rsidR="00F25F05">
            <w:pPr>
              <w:jc w:val="both"/>
              <w:rPr>
                <w:u w:val="single"/>
              </w:rPr>
            </w:pPr>
          </w:p>
          <w:p w:rsidR="00D27E5B">
            <w:pPr>
              <w:jc w:val="both"/>
            </w:pPr>
            <w:r>
              <w:rPr>
                <w:u w:val="single"/>
              </w:rPr>
              <w:t xml:space="preserve">(a) Except as provided by Subsection </w:t>
            </w:r>
            <w:r w:rsidRPr="00F25F05">
              <w:rPr>
                <w:highlight w:val="lightGray"/>
                <w:u w:val="single"/>
              </w:rPr>
              <w:t>(b)</w:t>
            </w:r>
            <w:r>
              <w:rPr>
                <w:u w:val="single"/>
              </w:rPr>
              <w:t>, a property owners' association may not adopt or enforce a restrictive covenant that prevents a prope</w:t>
            </w:r>
            <w:r>
              <w:rPr>
                <w:u w:val="single"/>
              </w:rPr>
              <w:t>rty owner from building or installing security measures, including but not limited to a security camera, motion detector, or perimeter fence.</w:t>
            </w:r>
          </w:p>
          <w:p w:rsidR="00F25F05">
            <w:pPr>
              <w:jc w:val="both"/>
              <w:rPr>
                <w:u w:val="single"/>
              </w:rPr>
            </w:pPr>
            <w:r>
              <w:rPr>
                <w:u w:val="single"/>
              </w:rPr>
              <w:t xml:space="preserve">(b)  This section does not prohibit a property owners' association from </w:t>
            </w:r>
          </w:p>
          <w:p w:rsidR="00F25F05">
            <w:pPr>
              <w:jc w:val="both"/>
              <w:rPr>
                <w:u w:val="single"/>
              </w:rPr>
            </w:pPr>
          </w:p>
          <w:p w:rsidR="00F25F05">
            <w:pPr>
              <w:jc w:val="both"/>
              <w:rPr>
                <w:u w:val="single"/>
              </w:rPr>
            </w:pPr>
          </w:p>
          <w:p w:rsidR="00F25F05">
            <w:pPr>
              <w:jc w:val="both"/>
              <w:rPr>
                <w:u w:val="single"/>
              </w:rPr>
            </w:pPr>
          </w:p>
          <w:p w:rsidR="00D27E5B">
            <w:pPr>
              <w:jc w:val="both"/>
            </w:pPr>
            <w:r>
              <w:rPr>
                <w:u w:val="single"/>
              </w:rPr>
              <w:t>regulating the type of fencing that a property owner may install.</w:t>
            </w:r>
          </w:p>
          <w:p w:rsidR="00D27E5B">
            <w:pPr>
              <w:jc w:val="both"/>
            </w:pPr>
          </w:p>
        </w:tc>
        <w:tc>
          <w:tcPr>
            <w:tcW w:w="6480" w:type="dxa"/>
          </w:tcPr>
          <w:p w:rsidR="00D27E5B">
            <w:pPr>
              <w:jc w:val="both"/>
            </w:pPr>
            <w:r>
              <w:t>SECTION 1.  Chapter 202, Property Code, is amended by adding Section 202.023 to read as follows:</w:t>
            </w:r>
          </w:p>
          <w:p w:rsidR="00CB4DD8">
            <w:pPr>
              <w:jc w:val="both"/>
            </w:pPr>
          </w:p>
          <w:p w:rsidR="00D27E5B" w:rsidRPr="00F25F05">
            <w:pPr>
              <w:jc w:val="both"/>
              <w:rPr>
                <w:highlight w:val="lightGray"/>
              </w:rPr>
            </w:pPr>
            <w:r w:rsidRPr="00F25F05">
              <w:rPr>
                <w:highlight w:val="lightGray"/>
                <w:u w:val="single"/>
              </w:rPr>
              <w:t>(a)  This section does not apply to:</w:t>
            </w:r>
          </w:p>
          <w:p w:rsidR="00D27E5B" w:rsidRPr="00F25F05">
            <w:pPr>
              <w:jc w:val="both"/>
              <w:rPr>
                <w:highlight w:val="lightGray"/>
              </w:rPr>
            </w:pPr>
            <w:r w:rsidRPr="00F25F05">
              <w:rPr>
                <w:highlight w:val="lightGray"/>
                <w:u w:val="single"/>
              </w:rPr>
              <w:t>(1)  a condominium as defined by Section 81.002 or 82.003; or</w:t>
            </w:r>
          </w:p>
          <w:p w:rsidR="00D27E5B">
            <w:pPr>
              <w:jc w:val="both"/>
            </w:pPr>
            <w:r w:rsidRPr="00F25F05">
              <w:rPr>
                <w:highlight w:val="lightGray"/>
                <w:u w:val="single"/>
              </w:rPr>
              <w:t>(2)  a master mixed-use property owners' association subject to Chapter 215.</w:t>
            </w:r>
            <w:r>
              <w:t xml:space="preserve">  [FA1(1A)]</w:t>
            </w:r>
          </w:p>
          <w:p w:rsidR="00D27E5B">
            <w:pPr>
              <w:jc w:val="both"/>
            </w:pPr>
            <w:r>
              <w:rPr>
                <w:u w:val="single"/>
              </w:rPr>
              <w:t xml:space="preserve">(b)  Except as provided by Subsection </w:t>
            </w:r>
            <w:r w:rsidRPr="00F25F05">
              <w:rPr>
                <w:highlight w:val="lightGray"/>
                <w:u w:val="single"/>
              </w:rPr>
              <w:t>(c)</w:t>
            </w:r>
            <w:r>
              <w:rPr>
                <w:u w:val="single"/>
              </w:rPr>
              <w:t>, a property owners' association may not adopt or enforce a restrictive covenant that prevents a property owner from building or installing security measures, including but not limited to a security camera, motion detector, or perimeter fence.</w:t>
            </w:r>
          </w:p>
          <w:p w:rsidR="00D27E5B">
            <w:pPr>
              <w:jc w:val="both"/>
            </w:pPr>
            <w:r>
              <w:rPr>
                <w:u w:val="single"/>
              </w:rPr>
              <w:t>(c)  This section does not prohibit a property owners' association from:</w:t>
            </w:r>
          </w:p>
          <w:p w:rsidR="00D27E5B" w:rsidRPr="00F25F05">
            <w:pPr>
              <w:jc w:val="both"/>
              <w:rPr>
                <w:highlight w:val="lightGray"/>
              </w:rPr>
            </w:pPr>
            <w:r w:rsidRPr="00F25F05">
              <w:rPr>
                <w:highlight w:val="lightGray"/>
                <w:u w:val="single"/>
              </w:rPr>
              <w:t>(1)  prohibiting the installation of a security camera by a property owner in a place other than the property owner's private property; or</w:t>
            </w:r>
          </w:p>
          <w:p w:rsidR="00D27E5B">
            <w:pPr>
              <w:jc w:val="both"/>
            </w:pPr>
            <w:r w:rsidRPr="00F25F05">
              <w:rPr>
                <w:highlight w:val="lightGray"/>
                <w:u w:val="single"/>
              </w:rPr>
              <w:t>(2)</w:t>
            </w:r>
            <w:r>
              <w:rPr>
                <w:u w:val="single"/>
              </w:rPr>
              <w:t xml:space="preserve">  regulating the type of fencing that a property owner may install.</w:t>
            </w:r>
            <w:r>
              <w:t xml:space="preserve">  [FA1(1B)]</w:t>
            </w:r>
          </w:p>
          <w:p w:rsidR="00D27E5B">
            <w:pPr>
              <w:jc w:val="both"/>
            </w:pPr>
          </w:p>
        </w:tc>
        <w:tc>
          <w:tcPr>
            <w:tcW w:w="5760" w:type="dxa"/>
          </w:tcPr>
          <w:p w:rsidR="00D27E5B">
            <w:pPr>
              <w:jc w:val="both"/>
            </w:pPr>
          </w:p>
        </w:tc>
      </w:tr>
      <w:tr>
        <w:tblPrEx>
          <w:tblW w:w="4820" w:type="pct"/>
          <w:tblInd w:w="6" w:type="dxa"/>
          <w:tblLayout w:type="fixed"/>
          <w:tblCellMar>
            <w:left w:w="0" w:type="dxa"/>
            <w:bottom w:w="288" w:type="dxa"/>
            <w:right w:w="720" w:type="dxa"/>
          </w:tblCellMar>
          <w:tblLook w:val="01E0"/>
        </w:tblPrEx>
        <w:tc>
          <w:tcPr>
            <w:tcW w:w="6473" w:type="dxa"/>
          </w:tcPr>
          <w:p w:rsidR="00D27E5B">
            <w:pPr>
              <w:jc w:val="both"/>
            </w:pPr>
            <w:r>
              <w:t>SECTION 2.  This Act takes effect September 1, 2021.</w:t>
            </w:r>
          </w:p>
          <w:p w:rsidR="00D27E5B">
            <w:pPr>
              <w:jc w:val="both"/>
            </w:pPr>
          </w:p>
        </w:tc>
        <w:tc>
          <w:tcPr>
            <w:tcW w:w="6480" w:type="dxa"/>
          </w:tcPr>
          <w:p w:rsidR="00D27E5B">
            <w:pPr>
              <w:jc w:val="both"/>
            </w:pPr>
            <w:r>
              <w:t xml:space="preserve">SECTION 2.  This Act takes effect </w:t>
            </w:r>
            <w:r w:rsidRPr="00F25F05">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2021.</w:t>
            </w:r>
          </w:p>
          <w:p w:rsidR="00D27E5B">
            <w:pPr>
              <w:jc w:val="both"/>
            </w:pPr>
          </w:p>
        </w:tc>
        <w:tc>
          <w:tcPr>
            <w:tcW w:w="5760" w:type="dxa"/>
          </w:tcPr>
          <w:p w:rsidR="00D27E5B">
            <w:pPr>
              <w:jc w:val="both"/>
            </w:pPr>
          </w:p>
        </w:tc>
      </w:tr>
    </w:tbl>
    <w:p w:rsidR="00E679C5"/>
    <w:sectPr w:rsidSect="00D27E5B">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E5B">
    <w:pPr>
      <w:tabs>
        <w:tab w:val="center" w:pos="9360"/>
        <w:tab w:val="right" w:pos="18720"/>
      </w:tabs>
    </w:pPr>
    <w:r>
      <w:fldChar w:fldCharType="begin"/>
    </w:r>
    <w:r>
      <w:instrText xml:space="preserve"> DOCPROPERTY  CCRF  \* MERGEFORMAT </w:instrText>
    </w:r>
    <w:r>
      <w:fldChar w:fldCharType="separate"/>
    </w:r>
    <w:r w:rsidR="00A00A6A">
      <w:t xml:space="preserve"> </w:t>
    </w:r>
    <w:r w:rsidR="00A00A6A">
      <w:fldChar w:fldCharType="end"/>
    </w:r>
    <w:r w:rsidR="000F5131">
      <w:tab/>
    </w:r>
    <w:r>
      <w:fldChar w:fldCharType="begin"/>
    </w:r>
    <w:r w:rsidR="000F5131">
      <w:instrText xml:space="preserve"> PAGE </w:instrText>
    </w:r>
    <w:r>
      <w:fldChar w:fldCharType="separate"/>
    </w:r>
    <w:r w:rsidR="000F5131">
      <w:t>1</w:t>
    </w:r>
    <w:r>
      <w:fldChar w:fldCharType="end"/>
    </w:r>
    <w:r w:rsidR="000F5131">
      <w:tab/>
    </w:r>
    <w:r>
      <w:fldChar w:fldCharType="begin"/>
    </w:r>
    <w:r>
      <w:instrText xml:space="preserve"> DOCPROPERTY  OTID  \* MERGEFORMAT </w:instrText>
    </w:r>
    <w:r>
      <w:fldChar w:fldCharType="separate"/>
    </w:r>
    <w:r w:rsidR="00A00A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A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5B"/>
    <w:rsid w:val="000F5131"/>
    <w:rsid w:val="00A00A6A"/>
    <w:rsid w:val="00B62107"/>
    <w:rsid w:val="00CB4DD8"/>
    <w:rsid w:val="00D27E5B"/>
    <w:rsid w:val="00E679C5"/>
    <w:rsid w:val="00F25F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13EB34C-5F2C-4E7F-975A-D478CEA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A6A"/>
    <w:pPr>
      <w:tabs>
        <w:tab w:val="center" w:pos="4680"/>
        <w:tab w:val="right" w:pos="9360"/>
      </w:tabs>
    </w:pPr>
  </w:style>
  <w:style w:type="character" w:customStyle="1" w:styleId="HeaderChar">
    <w:name w:val="Header Char"/>
    <w:basedOn w:val="DefaultParagraphFont"/>
    <w:link w:val="Header"/>
    <w:uiPriority w:val="99"/>
    <w:rsid w:val="00A00A6A"/>
    <w:rPr>
      <w:sz w:val="22"/>
    </w:rPr>
  </w:style>
  <w:style w:type="paragraph" w:styleId="Footer">
    <w:name w:val="footer"/>
    <w:basedOn w:val="Normal"/>
    <w:link w:val="FooterChar"/>
    <w:uiPriority w:val="99"/>
    <w:unhideWhenUsed/>
    <w:rsid w:val="00A00A6A"/>
    <w:pPr>
      <w:tabs>
        <w:tab w:val="center" w:pos="4680"/>
        <w:tab w:val="right" w:pos="9360"/>
      </w:tabs>
    </w:pPr>
  </w:style>
  <w:style w:type="character" w:customStyle="1" w:styleId="FooterChar">
    <w:name w:val="Footer Char"/>
    <w:basedOn w:val="DefaultParagraphFont"/>
    <w:link w:val="Footer"/>
    <w:uiPriority w:val="99"/>
    <w:rsid w:val="00A00A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Template>
  <TotalTime>0</TotalTime>
  <Pages>1</Pages>
  <Words>293</Words>
  <Characters>1563</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HB3571-SAA</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HB3571-SAA</dc:title>
  <dc:creator>Charles McCarty</dc:creator>
  <cp:lastModifiedBy>Barrett McPhaul</cp:lastModifiedBy>
  <cp:revision>2</cp:revision>
  <dcterms:created xsi:type="dcterms:W3CDTF">2021-05-25T13:14:00Z</dcterms:created>
  <dcterms:modified xsi:type="dcterms:W3CDTF">2021-05-25T13:14:00Z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