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F670A7">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AF3D36">
            <w:pPr>
              <w:ind w:left="650"/>
              <w:jc w:val="center"/>
            </w:pPr>
            <w:r>
              <w:rPr>
                <w:b/>
              </w:rPr>
              <w:t>House Bill  4663</w:t>
            </w:r>
          </w:p>
          <w:p w:rsidR="00AF3D36">
            <w:pPr>
              <w:ind w:left="650"/>
              <w:jc w:val="center"/>
            </w:pPr>
            <w:r>
              <w:t>Senate Amendments</w:t>
            </w:r>
          </w:p>
          <w:p w:rsidR="00AF3D36">
            <w:pPr>
              <w:ind w:left="650"/>
              <w:jc w:val="center"/>
            </w:pPr>
            <w:r>
              <w:t>Section-by-Section Analysis</w:t>
            </w:r>
          </w:p>
          <w:p w:rsidR="00AF3D36">
            <w:pPr>
              <w:jc w:val="center"/>
            </w:pPr>
          </w:p>
        </w:tc>
      </w:tr>
      <w:tr w:rsidTr="00F670A7">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AF3D36">
            <w:pPr>
              <w:jc w:val="center"/>
            </w:pPr>
            <w:r>
              <w:t>HOUSE VERSION</w:t>
            </w:r>
          </w:p>
        </w:tc>
        <w:tc>
          <w:tcPr>
            <w:tcW w:w="6248" w:type="dxa"/>
            <w:tcMar>
              <w:bottom w:w="188" w:type="dxa"/>
              <w:right w:w="0" w:type="dxa"/>
            </w:tcMar>
          </w:tcPr>
          <w:p w:rsidR="00AF3D36">
            <w:pPr>
              <w:jc w:val="center"/>
            </w:pPr>
            <w:r>
              <w:t>SENATE VERSION (CS)</w:t>
            </w:r>
          </w:p>
        </w:tc>
        <w:tc>
          <w:tcPr>
            <w:tcW w:w="6244" w:type="dxa"/>
            <w:tcMar>
              <w:bottom w:w="188" w:type="dxa"/>
              <w:right w:w="0" w:type="dxa"/>
            </w:tcMar>
          </w:tcPr>
          <w:p w:rsidR="00AF3D36">
            <w:pPr>
              <w:jc w:val="center"/>
            </w:pPr>
            <w:r>
              <w:t>CONFERENCE</w:t>
            </w:r>
          </w:p>
        </w:tc>
      </w:tr>
      <w:tr w:rsidTr="00F670A7">
        <w:tblPrEx>
          <w:tblW w:w="4820" w:type="pct"/>
          <w:tblInd w:w="6" w:type="dxa"/>
          <w:tblLayout w:type="fixed"/>
          <w:tblCellMar>
            <w:left w:w="0" w:type="dxa"/>
            <w:bottom w:w="288" w:type="dxa"/>
            <w:right w:w="720" w:type="dxa"/>
          </w:tblCellMar>
          <w:tblLook w:val="01E0"/>
        </w:tblPrEx>
        <w:tc>
          <w:tcPr>
            <w:tcW w:w="6248" w:type="dxa"/>
          </w:tcPr>
          <w:p w:rsidR="00AF3D36">
            <w:pPr>
              <w:jc w:val="both"/>
            </w:pPr>
            <w:r>
              <w:t>SECTION 1.  In this Act, "district" means the Hidalgo County Drainage District Number 1.</w:t>
            </w:r>
          </w:p>
          <w:p w:rsidR="00AF3D36">
            <w:pPr>
              <w:jc w:val="both"/>
            </w:pPr>
          </w:p>
        </w:tc>
        <w:tc>
          <w:tcPr>
            <w:tcW w:w="6248" w:type="dxa"/>
          </w:tcPr>
          <w:p w:rsidR="00AF3D36">
            <w:pPr>
              <w:jc w:val="both"/>
            </w:pPr>
            <w:r>
              <w:t>SECTION 1. Same as House version.</w:t>
            </w:r>
          </w:p>
          <w:p w:rsidR="00AF3D36">
            <w:pPr>
              <w:jc w:val="both"/>
            </w:pPr>
          </w:p>
          <w:p w:rsidR="00AF3D36">
            <w:pPr>
              <w:jc w:val="both"/>
            </w:pPr>
          </w:p>
        </w:tc>
        <w:tc>
          <w:tcPr>
            <w:tcW w:w="6244" w:type="dxa"/>
          </w:tcPr>
          <w:p w:rsidR="00AF3D36">
            <w:pPr>
              <w:jc w:val="both"/>
            </w:pPr>
          </w:p>
        </w:tc>
      </w:tr>
      <w:tr w:rsidTr="00F670A7">
        <w:tblPrEx>
          <w:tblW w:w="4820" w:type="pct"/>
          <w:tblInd w:w="6" w:type="dxa"/>
          <w:tblLayout w:type="fixed"/>
          <w:tblCellMar>
            <w:left w:w="0" w:type="dxa"/>
            <w:bottom w:w="288" w:type="dxa"/>
            <w:right w:w="720" w:type="dxa"/>
          </w:tblCellMar>
          <w:tblLook w:val="01E0"/>
        </w:tblPrEx>
        <w:tc>
          <w:tcPr>
            <w:tcW w:w="6248" w:type="dxa"/>
          </w:tcPr>
          <w:p w:rsidR="00AF3D36">
            <w:pPr>
              <w:jc w:val="both"/>
            </w:pPr>
            <w:r>
              <w:t>SECTION 2.  (a)  District revenue bonds may be secured as described by a board resolution by a pledge of:</w:t>
            </w:r>
          </w:p>
          <w:p w:rsidR="00AF3D36">
            <w:pPr>
              <w:jc w:val="both"/>
            </w:pPr>
            <w:r>
              <w:t>(1)  all or part of the district's gross revenue, other than taxation, minus the amount necessary to pay the cost of maintaining and operating the district and its property;</w:t>
            </w:r>
          </w:p>
          <w:p w:rsidR="00AF3D36">
            <w:pPr>
              <w:jc w:val="both"/>
            </w:pPr>
            <w:r>
              <w:t>(2)  the net revenue of a contract made at any time; or</w:t>
            </w:r>
          </w:p>
          <w:p w:rsidR="00AF3D36">
            <w:pPr>
              <w:jc w:val="both"/>
            </w:pPr>
            <w:r>
              <w:t>(3)  other revenue specified by board resolution.</w:t>
            </w:r>
          </w:p>
          <w:p w:rsidR="00AF3D36">
            <w:pPr>
              <w:jc w:val="both"/>
            </w:pPr>
            <w:r>
              <w:t>(b)  The pledge may reserve the right to issue additional bonds on a parity with or subordinate to the bonds being issued, subject to conditions specified by the pledge.</w:t>
            </w:r>
          </w:p>
          <w:p w:rsidR="00AF3D36">
            <w:pPr>
              <w:jc w:val="both"/>
            </w:pPr>
            <w:r>
              <w:t>(c)  District revenue bonds not payable wholly or partly from ad valorem taxes may be issued without an election.</w:t>
            </w:r>
          </w:p>
          <w:p w:rsidR="00AF3D36">
            <w:pPr>
              <w:jc w:val="both"/>
            </w:pPr>
          </w:p>
        </w:tc>
        <w:tc>
          <w:tcPr>
            <w:tcW w:w="6248" w:type="dxa"/>
          </w:tcPr>
          <w:p w:rsidR="00AF3D36">
            <w:pPr>
              <w:jc w:val="both"/>
            </w:pPr>
            <w:r>
              <w:t>SECTION 2. Same as House version.</w:t>
            </w:r>
          </w:p>
          <w:p w:rsidR="00AF3D36">
            <w:pPr>
              <w:jc w:val="both"/>
            </w:pPr>
          </w:p>
          <w:p w:rsidR="00AF3D36">
            <w:pPr>
              <w:jc w:val="both"/>
            </w:pPr>
          </w:p>
        </w:tc>
        <w:tc>
          <w:tcPr>
            <w:tcW w:w="6244" w:type="dxa"/>
          </w:tcPr>
          <w:p w:rsidR="00AF3D36">
            <w:pPr>
              <w:jc w:val="both"/>
            </w:pPr>
          </w:p>
        </w:tc>
      </w:tr>
      <w:tr w:rsidTr="00F670A7">
        <w:tblPrEx>
          <w:tblW w:w="4820" w:type="pct"/>
          <w:tblInd w:w="6" w:type="dxa"/>
          <w:tblLayout w:type="fixed"/>
          <w:tblCellMar>
            <w:left w:w="0" w:type="dxa"/>
            <w:bottom w:w="288" w:type="dxa"/>
            <w:right w:w="720" w:type="dxa"/>
          </w:tblCellMar>
          <w:tblLook w:val="01E0"/>
        </w:tblPrEx>
        <w:tc>
          <w:tcPr>
            <w:tcW w:w="6248" w:type="dxa"/>
          </w:tcPr>
          <w:p w:rsidR="00F670A7" w:rsidP="00F670A7">
            <w:pPr>
              <w:jc w:val="both"/>
            </w:pPr>
            <w:r>
              <w:t xml:space="preserve">SECTION 3.  (a) The district may sell reclaimed water </w:t>
            </w:r>
            <w:r w:rsidRPr="00F670A7">
              <w:rPr>
                <w:highlight w:val="lightGray"/>
              </w:rPr>
              <w:t>to consumers</w:t>
            </w:r>
            <w:r w:rsidRPr="00F670A7">
              <w:t>.</w:t>
            </w:r>
          </w:p>
          <w:p w:rsidR="00F670A7" w:rsidP="00F670A7">
            <w:pPr>
              <w:jc w:val="both"/>
            </w:pPr>
          </w:p>
          <w:p w:rsidR="00F670A7" w:rsidP="00F670A7">
            <w:pPr>
              <w:jc w:val="both"/>
            </w:pPr>
          </w:p>
          <w:p w:rsidR="00AF3D36" w:rsidP="00F670A7">
            <w:pPr>
              <w:jc w:val="both"/>
            </w:pPr>
            <w:r>
              <w:t>(b)  The district may enter into public-private partnership agreements to fund infrastructure improvements needed to sell reclaimed water to consumers.</w:t>
            </w:r>
          </w:p>
          <w:p w:rsidR="00AF3D36">
            <w:pPr>
              <w:jc w:val="both"/>
            </w:pPr>
          </w:p>
        </w:tc>
        <w:tc>
          <w:tcPr>
            <w:tcW w:w="6248" w:type="dxa"/>
          </w:tcPr>
          <w:p w:rsidR="00AF3D36">
            <w:pPr>
              <w:jc w:val="both"/>
            </w:pPr>
            <w:r>
              <w:t xml:space="preserve">SECTION 3.  (a) The district may sell reclaimed water </w:t>
            </w:r>
            <w:r w:rsidRPr="00F670A7">
              <w:rPr>
                <w:highlight w:val="lightGray"/>
              </w:rPr>
              <w:t>at wholesale and sell reclaimed water on a retail basis to the extent that the sale does not conflict with a certificate of convenience and necessity</w:t>
            </w:r>
            <w:r>
              <w:t>.</w:t>
            </w:r>
          </w:p>
          <w:p w:rsidR="00AF3D36">
            <w:pPr>
              <w:jc w:val="both"/>
            </w:pPr>
            <w:r>
              <w:t>(b)  The district may enter into public-private partnership agreements to fund infrastructure improvements needed to sell reclaimed water to consumers.</w:t>
            </w:r>
          </w:p>
          <w:p w:rsidR="00AF3D36">
            <w:pPr>
              <w:jc w:val="both"/>
            </w:pPr>
          </w:p>
        </w:tc>
        <w:tc>
          <w:tcPr>
            <w:tcW w:w="6244" w:type="dxa"/>
          </w:tcPr>
          <w:p w:rsidR="00AF3D36">
            <w:pPr>
              <w:jc w:val="both"/>
            </w:pPr>
          </w:p>
        </w:tc>
      </w:tr>
      <w:tr w:rsidTr="00F670A7">
        <w:tblPrEx>
          <w:tblW w:w="4820" w:type="pct"/>
          <w:tblInd w:w="6" w:type="dxa"/>
          <w:tblLayout w:type="fixed"/>
          <w:tblCellMar>
            <w:left w:w="0" w:type="dxa"/>
            <w:bottom w:w="288" w:type="dxa"/>
            <w:right w:w="720" w:type="dxa"/>
          </w:tblCellMar>
          <w:tblLook w:val="01E0"/>
        </w:tblPrEx>
        <w:tc>
          <w:tcPr>
            <w:tcW w:w="6248" w:type="dxa"/>
          </w:tcPr>
          <w:p w:rsidR="00AF3D36">
            <w:pPr>
              <w:jc w:val="both"/>
            </w:pPr>
            <w:r>
              <w:t xml:space="preserve">SECTION 4.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w:t>
            </w:r>
            <w:r>
              <w:t>furnished under Section 59, Article XVI, Texas Constitution, and Chapter 313, Government Code.</w:t>
            </w:r>
          </w:p>
          <w:p w:rsidR="00AF3D36">
            <w:pPr>
              <w:jc w:val="both"/>
            </w:pPr>
            <w:r>
              <w:t>(b)  The governor, one of the required recipients, has submitted the notice and Act to the Texas Commission on Environmental Quality.</w:t>
            </w:r>
          </w:p>
          <w:p w:rsidR="00AF3D36">
            <w:pPr>
              <w:jc w:val="both"/>
            </w:pPr>
            <w:r>
              <w:t>(c)  The Texas Commission on Environmental Quality has filed its recommendations relating to this Act with the governor, the lieutenant governor, and the speaker of the house of representatives within the required time.</w:t>
            </w:r>
          </w:p>
          <w:p w:rsidR="00AF3D36">
            <w:pPr>
              <w:jc w:val="both"/>
            </w:pPr>
            <w:r>
              <w:t>(d)  All requirements of the constitution and laws of this state and the rules and procedures of the legislature with respect to the notice, introduction, and passage of this Act are fulfilled and accomplished.</w:t>
            </w:r>
          </w:p>
          <w:p w:rsidR="00AF3D36">
            <w:pPr>
              <w:jc w:val="both"/>
            </w:pPr>
          </w:p>
        </w:tc>
        <w:tc>
          <w:tcPr>
            <w:tcW w:w="6248" w:type="dxa"/>
          </w:tcPr>
          <w:p w:rsidR="00AF3D36">
            <w:pPr>
              <w:jc w:val="both"/>
            </w:pPr>
            <w:r>
              <w:t>SECTION 4. Same as House version.</w:t>
            </w:r>
          </w:p>
          <w:p w:rsidR="00AF3D36">
            <w:pPr>
              <w:jc w:val="both"/>
            </w:pPr>
          </w:p>
          <w:p w:rsidR="00AF3D36">
            <w:pPr>
              <w:jc w:val="both"/>
            </w:pPr>
          </w:p>
        </w:tc>
        <w:tc>
          <w:tcPr>
            <w:tcW w:w="6244" w:type="dxa"/>
          </w:tcPr>
          <w:p w:rsidR="00AF3D36">
            <w:pPr>
              <w:jc w:val="both"/>
            </w:pPr>
          </w:p>
        </w:tc>
      </w:tr>
      <w:tr w:rsidTr="00F670A7">
        <w:tblPrEx>
          <w:tblW w:w="4820" w:type="pct"/>
          <w:tblInd w:w="6" w:type="dxa"/>
          <w:tblLayout w:type="fixed"/>
          <w:tblCellMar>
            <w:left w:w="0" w:type="dxa"/>
            <w:bottom w:w="288" w:type="dxa"/>
            <w:right w:w="720" w:type="dxa"/>
          </w:tblCellMar>
          <w:tblLook w:val="01E0"/>
        </w:tblPrEx>
        <w:tc>
          <w:tcPr>
            <w:tcW w:w="6248" w:type="dxa"/>
          </w:tcPr>
          <w:p w:rsidR="00AF3D36">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AF3D36">
            <w:pPr>
              <w:jc w:val="both"/>
            </w:pPr>
          </w:p>
        </w:tc>
        <w:tc>
          <w:tcPr>
            <w:tcW w:w="6248" w:type="dxa"/>
          </w:tcPr>
          <w:p w:rsidR="00AF3D36">
            <w:pPr>
              <w:jc w:val="both"/>
            </w:pPr>
            <w:r>
              <w:t>SECTION 5. Same as House version.</w:t>
            </w:r>
          </w:p>
          <w:p w:rsidR="00AF3D36">
            <w:pPr>
              <w:jc w:val="both"/>
            </w:pPr>
          </w:p>
          <w:p w:rsidR="00AF3D36">
            <w:pPr>
              <w:jc w:val="both"/>
            </w:pPr>
          </w:p>
        </w:tc>
        <w:tc>
          <w:tcPr>
            <w:tcW w:w="6244" w:type="dxa"/>
          </w:tcPr>
          <w:p w:rsidR="00AF3D36">
            <w:pPr>
              <w:jc w:val="both"/>
            </w:pPr>
          </w:p>
        </w:tc>
      </w:tr>
    </w:tbl>
    <w:p w:rsidR="005A63C6"/>
    <w:sectPr w:rsidSect="00AF3D36">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3D36">
    <w:pPr>
      <w:tabs>
        <w:tab w:val="center" w:pos="9360"/>
        <w:tab w:val="right" w:pos="18720"/>
      </w:tabs>
    </w:pPr>
    <w:r>
      <w:fldChar w:fldCharType="begin"/>
    </w:r>
    <w:r>
      <w:instrText xml:space="preserve"> DOCPROPERTY  CCRF  \* MERGEFORMAT </w:instrText>
    </w:r>
    <w:r>
      <w:fldChar w:fldCharType="separate"/>
    </w:r>
    <w:r w:rsidR="006B353D">
      <w:t xml:space="preserve"> </w:t>
    </w:r>
    <w:r w:rsidR="006B353D">
      <w:fldChar w:fldCharType="end"/>
    </w:r>
    <w:r w:rsidR="00CC0B2A">
      <w:tab/>
    </w:r>
    <w:r>
      <w:fldChar w:fldCharType="begin"/>
    </w:r>
    <w:r w:rsidR="00CC0B2A">
      <w:instrText xml:space="preserve"> PAGE </w:instrText>
    </w:r>
    <w:r>
      <w:fldChar w:fldCharType="separate"/>
    </w:r>
    <w:r w:rsidR="00CC0B2A">
      <w:t>2</w:t>
    </w:r>
    <w:r>
      <w:fldChar w:fldCharType="end"/>
    </w:r>
    <w:r w:rsidR="00CC0B2A">
      <w:tab/>
    </w:r>
    <w:r>
      <w:fldChar w:fldCharType="begin"/>
    </w:r>
    <w:r>
      <w:instrText xml:space="preserve"> DOCPROPERTY  OTID  \* MERGEFORMAT </w:instrText>
    </w:r>
    <w:r>
      <w:fldChar w:fldCharType="separate"/>
    </w:r>
    <w:r w:rsidR="006B35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18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36"/>
    <w:rsid w:val="005A63C6"/>
    <w:rsid w:val="006B353D"/>
    <w:rsid w:val="00986180"/>
    <w:rsid w:val="00AF3D36"/>
    <w:rsid w:val="00CC0B2A"/>
    <w:rsid w:val="00F670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C7781C5-D9AF-4570-A505-304DD698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3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180"/>
    <w:pPr>
      <w:tabs>
        <w:tab w:val="center" w:pos="4680"/>
        <w:tab w:val="right" w:pos="9360"/>
      </w:tabs>
    </w:pPr>
  </w:style>
  <w:style w:type="character" w:customStyle="1" w:styleId="HeaderChar">
    <w:name w:val="Header Char"/>
    <w:basedOn w:val="DefaultParagraphFont"/>
    <w:link w:val="Header"/>
    <w:uiPriority w:val="99"/>
    <w:rsid w:val="00986180"/>
    <w:rPr>
      <w:sz w:val="22"/>
    </w:rPr>
  </w:style>
  <w:style w:type="paragraph" w:styleId="Footer">
    <w:name w:val="footer"/>
    <w:basedOn w:val="Normal"/>
    <w:link w:val="FooterChar"/>
    <w:uiPriority w:val="99"/>
    <w:unhideWhenUsed/>
    <w:rsid w:val="00986180"/>
    <w:pPr>
      <w:tabs>
        <w:tab w:val="center" w:pos="4680"/>
        <w:tab w:val="right" w:pos="9360"/>
      </w:tabs>
    </w:pPr>
  </w:style>
  <w:style w:type="character" w:customStyle="1" w:styleId="FooterChar">
    <w:name w:val="Footer Char"/>
    <w:basedOn w:val="DefaultParagraphFont"/>
    <w:link w:val="Footer"/>
    <w:uiPriority w:val="99"/>
    <w:rsid w:val="009861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457</Words>
  <Characters>2361</Characters>
  <Application>Microsoft Office Word</Application>
  <DocSecurity>0</DocSecurity>
  <Lines>81</Lines>
  <Paragraphs>26</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HB4663-SAA</dc:title>
  <dc:creator>Barrett McPhaul</dc:creator>
  <cp:lastModifiedBy>Kelly Thomas</cp:lastModifiedBy>
  <cp:revision>2</cp:revision>
  <dcterms:created xsi:type="dcterms:W3CDTF">2021-05-24T15:47:00Z</dcterms:created>
  <dcterms:modified xsi:type="dcterms:W3CDTF">2021-05-24T15:47:00Z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