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criminal offense of operation of a stash house;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third degree, except that the offense is a felony of the second degree if it is shown on the trial of the offense that as a direct result of the commission of the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became a victim of sexual assault, as defined by Section 22.011, or aggravated sexual assault, as defined by Section 22.021;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suffered serious bodily injury or death</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w:t>
      </w:r>
      <w:r>
        <w:t xml:space="preserve"> committed, and the former law is continued in effect for that purpose.  For the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