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to suspend entry into this state of certain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Title 42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D, Title 2, Health and Safety Code, is amended by adding Chapter 81B to read as follows:</w:t>
      </w:r>
    </w:p>
    <w:p w:rsidR="003F3435" w:rsidRDefault="0032493E">
      <w:pPr>
        <w:spacing w:line="480" w:lineRule="auto"/>
        <w:jc w:val="center"/>
      </w:pPr>
      <w:r>
        <w:rPr>
          <w:u w:val="single"/>
        </w:rPr>
        <w:t xml:space="preserve">Chapter 81B. Suspension of entry of persons from designated  places to prevent spread of communicable diseases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"Federally declared public health emergency"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health emergency declared by the United States Secretary of Health and Human Services under 42 U.S.C.  Section 247d;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or disaster declared, including under a renewal of the declaration, by the president of the United States  in relation to a public health emergency described by Paragraph (A)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National Emergencies Act (50 U.S.C.  Section 1601 et seq.);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Robert T. Stafford Disaster Relief and Emergency Assistant Act (42 U.S.C. Section 5121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"Port of entry" means a port of entry in the United States, as defined by part 101 of the customs regulations (19 CFR part 101).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 means any individual other than (i) one  described in the first sentence of section 1 of the Fourteenth Amendment to the United States Constitution or (ii) one described in 8 U.S.C. § 1101(a)(20).</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81B.002.</w:t>
      </w:r>
      <w:r>
        <w:rPr>
          <w:u w:val="single"/>
        </w:rPr>
        <w:t xml:space="preserve"> </w:t>
      </w:r>
      <w:r>
        <w:rPr>
          <w:u w:val="single"/>
        </w:rPr>
        <w:t xml:space="preserve"> </w:t>
      </w:r>
      <w:r>
        <w:rPr>
          <w:u w:val="single"/>
        </w:rPr>
        <w:t xml:space="preserve">SUSPENSION OF ENTRY.  (a)  During any of the  following, all persons entering Texas by land from another country must pass through a legal port of entry for appropriate medical  review: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pendency of any federally declared public  health emergency for COVID-19,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any time which the federal government has in place  any vaccination requirements for any person lawfully residing in the United States, including but not limited to  government contractors or healthcare workers, for the purposes of preventing the spread of COVID-19 in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any time which the U.S. Department of State has  travel warnings for health for any country from which citizens  have illegally entered the United States during the most recent  year for which there is available data;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period the COVID-19 vaccine is listed on the  recommended child and adolescent immunization schedule published by the federal Centers for Disease Control and Prevention.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person who enters the State of Texas from a foreign country other than in accordance with subsection (a) of this  section, shall be removed to the country from which they entered the United States, or their country of origin, or another location as practicable, as rapidly as possible, with as little time spent  in congregate settings as practicable under the circumstances.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