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commissioners court to adopt an exemption from ad valorem taxation by each taxing unit that taxes the property of the portion of the appraised value of a person's property that is attributable to the installation in or on the property of certain water conservation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11, Tax Code, is amended by adding Section 11.325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11.325.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 CONSERVATION SYSTEMS.  (a)  In this section, "graywater" has the meaning assigned by Section 341.039,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by order may adopt an exemption from taxation of the portion of the appraised value of a person's property that is attributable to the installation in or on the property of a rainwater harvesting or graywater system.  An exemption adopted by a commissioners court under this section applies to the taxation of property by each taxing unit that taxes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2024, but only if the constitutional amendment to authorize the commissioners court of a county to exempt from ad valorem taxation by each political subdivision that taxes the property the portion of the assessed value of a person's property that is attributable to the installation in or on the property of a rainwater harvesting or graywater system is approved by the voters. </w:t>
      </w:r>
      <w:r>
        <w:t xml:space="preserve"> If that amendment is not approved by the voters, this Act has no effect.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