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Harrison</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abolish ad valorem taxes.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political subdivision of this state may not impose an ad valorem tax on real or personal property in this state for any purpose on or after January 1, 2029.</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state takes full responsibility for the guarantee of the repayment of all bonds issued by a school district before November 7, 2023, and secured by the revenue from the ad valorem taxes imposed by those entities before January 1, 2029. The legislature shall enact laws for the implementation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to abolish ad valorem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