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H.J.R.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limit the maximum appraised value of commercial property and rental property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EQUALITY AND UNIFORMITY OF TAXATION; TAXATION OF PROPERTY IN PROPORTION TO VALUE; OCCUPATION AND INCOME TAXES; EXEMPTION OF CERTAIN TANGIBLE PERSONAL PROPERTY AND SMALL MINERAL INTERESTS FROM AD VALOREM TAXATION; VALUATION OF RESIDENCE HOMESTEADS FOR TAX PURPOSES</w:t>
      </w:r>
      <w:r>
        <w:rPr>
          <w:u w:val="single"/>
        </w:rPr>
        <w:t xml:space="preserve">; VALUATION OF COMMERCIAL AND RENTAL PROPERTY FOR TAX PURPOSES</w:t>
      </w:r>
      <w:r>
        <w:t xml:space="preserv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Subsections (a) and (b) of this section, the Legislature by general law may limit the maximum appraised value of a commercial property or rental property for ad valorem tax purposes in a tax year to the lesser of the most recent market value of the property as determined by the appraisal entity or 108 percent, or a greater percentage, of the appraised value of the property for the preceding tax year. A limitation on appraised values authorized by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takes effect as to a commercial property or rental property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limit the maximum appraised value of commercial property and rental property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