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H.J.R.</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commissioners court of a county to exempt from ad valorem taxation by each political subdivision that taxes the property the portion of the assessed value of a person's property that is attributable to the installation in or on the property of a rainwater harvesting or graywater system.</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1-u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1-u.</w:t>
      </w:r>
      <w:r>
        <w:rPr>
          <w:u w:val="single"/>
        </w:rPr>
        <w:t xml:space="preserve"> </w:t>
      </w:r>
      <w:r>
        <w:rPr>
          <w:u w:val="single"/>
        </w:rPr>
        <w:t xml:space="preserve"> </w:t>
      </w:r>
      <w:r>
        <w:rPr>
          <w:u w:val="single"/>
        </w:rPr>
        <w:t xml:space="preserve">The legislature by general law may authorize the  commissioners court of a county to exempt from ad valorem taxation by each political subdivision that taxes the property the portion of the assessed value of a person's property that is attributable  to the installation in or on the property of a rainwater harvesting or graywater system and may provide additional eligibility requirements for the exemption.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w:t>
      </w:r>
      <w:r>
        <w:t xml:space="preserve">commissioners court of a county to exempt from ad valorem taxation by each political subdivision that taxes the property the portion of the assessed value of a person's property that is attributable to the installation in or on the property of a rainwater harvesting or graywater system."</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