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88S10078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If H.B. No.</w:t>
      </w:r>
      <w:r xml:space="preserve">
        <w:t> </w:t>
      </w:r>
      <w:r>
        <w:t xml:space="preserve">165, Acts of the 88th Legislature, Regular Session, 2023, becomes law, Section 3.03, Penal Code, as effective September 1, 2023,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H.B. No. 165, Acts of the 88th Legislature, Regular Session, 2023, does not become law, Section 3.03, Penal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w:t>
      </w:r>
      <w:r>
        <w:t xml:space="preserve"> </w:t>
      </w:r>
      <w:r>
        <w:t xml:space="preserve">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 (b)</w:t>
      </w:r>
      <w:r>
        <w:t xml:space="preserve">], the sentences shall run concurrently.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(c)(1)(A) and an offense described by Subsection (c)(1)(B). </w:t>
      </w:r>
      <w:r>
        <w:rPr>
          <w:u w:val="single"/>
        </w:rPr>
        <w:t xml:space="preserve"> </w:t>
      </w:r>
      <w:r>
        <w:rPr>
          <w:u w:val="single"/>
        </w:rPr>
        <w:t xml:space="preserve">If the accused is found guilty of more than one offense described by Subsection (c)(1)(A),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20.05,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