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Parker</w:t>
      </w:r>
      <w:r xml:space="preserve">
        <w:tab wTab="150" tlc="none" cTlc="0"/>
      </w:r>
      <w:r>
        <w:t xml:space="preserve">S.B.</w:t>
      </w:r>
      <w:r xml:space="preserve">
        <w:t> </w:t>
      </w:r>
      <w:r>
        <w:t xml:space="preserve">No.</w:t>
      </w:r>
      <w:r xml:space="preserve">
        <w:t> </w:t>
      </w:r>
      <w:r>
        <w:t xml:space="preserve">17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June</w:t>
      </w:r>
      <w:r xml:space="preserve">
        <w:t> </w:t>
      </w:r>
      <w:r>
        <w:t xml:space="preserve">7,</w:t>
      </w:r>
      <w:r xml:space="preserve">
        <w:t> </w:t>
      </w:r>
      <w:r>
        <w:t xml:space="preserve">2023; June</w:t>
      </w:r>
      <w:r xml:space="preserve">
        <w:t> </w:t>
      </w:r>
      <w:r>
        <w:t xml:space="preserve">8,</w:t>
      </w:r>
      <w:r xml:space="preserve">
        <w:t> </w:t>
      </w:r>
      <w:r>
        <w:t xml:space="preserve">2023, read first time and referred to Committee on State Affairs; June</w:t>
      </w:r>
      <w:r xml:space="preserve">
        <w:t> </w:t>
      </w:r>
      <w:r>
        <w:t xml:space="preserve">15,</w:t>
      </w:r>
      <w:r xml:space="preserve">
        <w:t> </w:t>
      </w:r>
      <w:r>
        <w:t xml:space="preserve">2023, reported favorably by the following vote:</w:t>
      </w:r>
      <w:r>
        <w:t xml:space="preserve"> </w:t>
      </w:r>
      <w:r>
        <w:t xml:space="preserve"> </w:t>
      </w:r>
      <w:r>
        <w:t xml:space="preserve">Yeas 9, Nays 0; June</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right of a public school employee to engage in religious speech or prayer while on duty.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22.012.</w:t>
      </w:r>
      <w:r>
        <w:rPr>
          <w:u w:val="single"/>
        </w:rPr>
        <w:t xml:space="preserve"> </w:t>
      </w:r>
      <w:r>
        <w:rPr>
          <w:u w:val="single"/>
        </w:rPr>
        <w:t xml:space="preserve"> </w:t>
      </w:r>
      <w:r>
        <w:rPr>
          <w:u w:val="single"/>
        </w:rPr>
        <w:t xml:space="preserve">RELIGIOUS SPEECH OR PRAYER.  The right of an employee of a school district or open-enrollment charter school to engage in religious speech or prayer while on duty may not be infringed on by the district or school or another state governmental entity, unless the infringement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necessary to further a compelling state interest;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narrowly tailored using the least restrictive means to achieve that compelling state interest.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October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