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88S10142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Except as otherwise provided by this section, 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or municipality from spending public funds to compensate or contract with an individual required to register as a lobbyist under Chapter 305 for the purpose of influencing or attempting to influence the outcome of legislation related to the military, military service members, or military veterans;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full-time employee of a nonprofit state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including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a legislative committee.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