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exemptions, and limitations on taxes and providing franchise tax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and Franchise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w:t>
      </w:r>
      <w:r>
        <w:rPr>
          <w:u w:val="single"/>
        </w:rPr>
        <w:t xml:space="preserve">1.0175</w:t>
      </w:r>
      <w:r>
        <w:t xml:space="preserve"> [</w:t>
      </w:r>
      <w:r>
        <w:rPr>
          <w:strike/>
        </w:rPr>
        <w:t xml:space="preserve">1.025</w:t>
      </w:r>
      <w:r>
        <w:t xml:space="preserve">]/(1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district's maximum compressed rate ("MCR") is the lesser of:</w:t>
      </w:r>
    </w:p>
    <w:p w:rsidR="003F3435" w:rsidRDefault="0032493E">
      <w:pPr>
        <w:spacing w:line="480" w:lineRule="auto"/>
        <w:ind w:firstLine="1440"/>
        <w:jc w:val="both"/>
      </w:pPr>
      <w:r>
        <w:t xml:space="preserve">(1)</w:t>
      </w:r>
      <w:r xml:space="preserve">
        <w:t> </w:t>
      </w:r>
      <w:r xml:space="preserve">
        <w:t> </w:t>
      </w:r>
      <w:r>
        <w:t xml:space="preserve">the rate determined by the following applicable formula:</w:t>
      </w:r>
    </w:p>
    <w:p w:rsidR="003F3435" w:rsidRDefault="0032493E">
      <w:pPr>
        <w:spacing w:line="480" w:lineRule="auto"/>
        <w:ind w:firstLine="2160"/>
        <w:jc w:val="both"/>
      </w:pPr>
      <w:r>
        <w:t xml:space="preserve">(A)</w:t>
      </w:r>
      <w:r xml:space="preserve">
        <w:t> </w:t>
      </w:r>
      <w:r xml:space="preserve">
        <w:t> </w:t>
      </w:r>
      <w:r>
        <w:t xml:space="preserve">if "DPV" exceeds "PYDPV" by an amount equal to or greater than </w:t>
      </w:r>
      <w:r>
        <w:rPr>
          <w:u w:val="single"/>
        </w:rPr>
        <w:t xml:space="preserve">1.75</w:t>
      </w:r>
      <w:r>
        <w:t xml:space="preserve"> [</w:t>
      </w:r>
      <w:r>
        <w:rPr>
          <w:strike/>
        </w:rPr>
        <w:t xml:space="preserve">2.5</w:t>
      </w:r>
      <w:r>
        <w:t xml:space="preserve">] percent:</w:t>
      </w:r>
    </w:p>
    <w:p w:rsidR="003F3435" w:rsidRDefault="0032493E">
      <w:pPr>
        <w:spacing w:line="480" w:lineRule="auto"/>
        <w:jc w:val="center"/>
      </w:pPr>
      <w:r>
        <w:t xml:space="preserve">MCR = (</w:t>
      </w:r>
      <w:r>
        <w:rPr>
          <w:u w:val="single"/>
        </w:rPr>
        <w:t xml:space="preserve">1.0175</w:t>
      </w:r>
      <w:r>
        <w:t xml:space="preserve"> [</w:t>
      </w:r>
      <w:r>
        <w:rPr>
          <w:strike/>
        </w:rPr>
        <w:t xml:space="preserve">1.025</w:t>
      </w:r>
      <w:r>
        <w:t xml:space="preserve">]((PYDPV+E) X PYMCR))/DPV; or</w:t>
      </w:r>
    </w:p>
    <w:p w:rsidR="003F3435" w:rsidRDefault="0032493E">
      <w:pPr>
        <w:spacing w:line="480" w:lineRule="auto"/>
        <w:ind w:firstLine="2160"/>
        <w:jc w:val="both"/>
      </w:pPr>
      <w:r>
        <w:t xml:space="preserve">(B)</w:t>
      </w:r>
      <w:r xml:space="preserve">
        <w:t> </w:t>
      </w:r>
      <w:r xml:space="preserve">
        <w:t> </w:t>
      </w:r>
      <w:r>
        <w:t xml:space="preserve">if Paragraph (A) does not apply:</w:t>
      </w:r>
    </w:p>
    <w:p w:rsidR="003F3435" w:rsidRDefault="0032493E">
      <w:pPr>
        <w:spacing w:line="480" w:lineRule="auto"/>
        <w:jc w:val="center"/>
      </w:pPr>
      <w:r>
        <w:t xml:space="preserve">MCR = PYMCR; or</w:t>
      </w:r>
    </w:p>
    <w:p w:rsidR="003F3435" w:rsidRDefault="0032493E">
      <w:pPr>
        <w:spacing w:line="480" w:lineRule="auto"/>
        <w:ind w:firstLine="1440"/>
        <w:jc w:val="both"/>
      </w:pPr>
      <w:r>
        <w:t xml:space="preserve">(2)</w:t>
      </w:r>
      <w:r xml:space="preserve">
        <w:t> </w:t>
      </w:r>
      <w:r xml:space="preserve">
        <w:t> </w:t>
      </w:r>
      <w:r>
        <w:t xml:space="preserve">the product of the state compression percentage, as determined under Section 48.255, for the current tax year, multiplied by $1.00.</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w:t>
      </w:r>
      <w:r>
        <w:rPr>
          <w:u w:val="single"/>
        </w:rPr>
        <w:t xml:space="preserve"> </w:t>
      </w:r>
      <w:r>
        <w:rPr>
          <w:u w:val="single"/>
        </w:rPr>
        <w:t xml:space="preserve">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S.B. 26,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t xml:space="preserve">ARTICLE 3.  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1st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88th Legislature, 1st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 </w:t>
      </w:r>
      <w:r>
        <w:rPr>
          <w:u w:val="single"/>
        </w:rPr>
        <w:t xml:space="preserve"> </w:t>
      </w:r>
      <w:r>
        <w:rPr>
          <w:u w:val="single"/>
        </w:rPr>
        <w:t xml:space="preserve">TRANSITIONAL PROVISIONS: </w:t>
      </w:r>
      <w:r>
        <w:rPr>
          <w:u w:val="single"/>
        </w:rPr>
        <w:t xml:space="preserve"> </w:t>
      </w:r>
      <w:r>
        <w:rPr>
          <w:u w:val="single"/>
        </w:rPr>
        <w:t xml:space="preserve">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88th Legislature, 1st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2, 88th Legislature, 1st Called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 26, Acts of the 88th Legislature, 1st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district and the taxable value of new property as if the changes in law made by S.B. 26, Acts of the 88th Legislature, 1st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2023 tax year as if the changes in law made by S.B. 26,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 26,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district on a residence homestead for the 2023 tax year as if the changes in law made by S.B. 26, Acts of the 88th Legislature, 1st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to reflect the results of the election to approve the constitutional amendment proposed by S.J.R. 2, 88th Legislature, 1st Called Session, 2023.  This subsection expires December 31, 2024.</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and only if the changes in law made by S.B. 26, Acts of the 88th Legislature, 1st Called Session, 2023, would lower the taxes imposed by the district on the property for that tax year.  The assessor for the district shall compute the amount of taxes imposed and the other information required by this section as if the changes in law made by S.B. 26, Acts of the 88th Legislature, 1st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 26, Acts of the 88th Legislature, 1st Called Session, 2023, were not in effect for that tax year).  Because of action by the Texas Legislature, your tax bill has been lowered by $____ (insert difference between amount of tax bill if the changes in law made by S.B. 26, Acts of the 88th Legislature, 1st Called Session, 2023, were not in effect for that tax year and amount of tax bill if that Act were in effect for that tax year), resulting in a lower tax bill of $____ (insert amount of tax bill if the changes in law made by S.B. 26, Acts of the 88th Legislature, 1st Called Session, 2023, were in effect for that tax year), contingent on the approval by the voters at an election to be held November 7, 2023, of the constitutional amendment proposed by S.J.R. 2, 88th Legislature, 1st Called Session, 2023.  If that constitutional amendment is not approved by the voters at the election, a supplemental tax bill in the amount of $____ (insert difference between amount of tax bill if the changes in law made by S.B. 26, Acts of the 88th Legislature, 1st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88th Legislature, 1st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as if the changes in law made by S.B. 26, Acts of the 88th Legislature, 1st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26, Acts of the 88th Legislature, 1st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4.  DETERMINATION AND REPORTING OF FRANCHISE TAX LIABILITY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171.002(d), Tax Code, is amended to read as follows: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w:t>
      </w:r>
      <w:r>
        <w:rPr>
          <w:u w:val="single"/>
        </w:rPr>
        <w:t xml:space="preserve">$2.47</w:t>
      </w:r>
      <w:r>
        <w:t xml:space="preserve"> [</w:t>
      </w:r>
      <w:r>
        <w:rPr>
          <w:strike/>
        </w:rPr>
        <w:t xml:space="preserve">$1</w:t>
      </w:r>
      <w:r>
        <w:t xml:space="preserve">] million or the amount determined under Section 171.006 per 12-month period on which margin is based.</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171.204(b),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w:t>
      </w:r>
      <w:r>
        <w:rPr>
          <w:u w:val="single"/>
        </w:rPr>
        <w:t xml:space="preserve">not</w:t>
      </w:r>
      <w:r>
        <w:t xml:space="preserve"> require a taxable entity that does not owe any tax because of the application of Section 171.002(d)(2) to file an [</w:t>
      </w:r>
      <w:r>
        <w:rPr>
          <w:strike/>
        </w:rPr>
        <w:t xml:space="preserve">abbreviated</w:t>
      </w:r>
      <w:r>
        <w:t xml:space="preserve">] information report with the comptroller [</w:t>
      </w:r>
      <w:r>
        <w:rPr>
          <w:strike/>
        </w:rPr>
        <w:t xml:space="preserve">stating the amount of the taxable entity's total revenue from its entire business.</w:t>
      </w:r>
      <w:r xml:space="preserve">
        <w:rPr>
          <w:strike/>
        </w:rPr>
        <w:t> </w:t>
      </w:r>
      <w:r xml:space="preserve">
        <w:rPr>
          <w:strike/>
        </w:rPr>
        <w:t> </w:t>
      </w:r>
      <w:r>
        <w:rPr>
          <w:strike/>
        </w:rPr>
        <w:t xml:space="preserve">The comptroller may not require a taxable entity described by this subsection to file an information report that requires the taxable entity to report or compute its margin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171.204(d), Tax Code, is repealed.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The changes in law made by this article apply only to a report originally due on or after January 1, 2024.</w:t>
      </w:r>
    </w:p>
    <w:p w:rsidR="003F3435" w:rsidRDefault="0032493E">
      <w:pPr>
        <w:spacing w:line="480" w:lineRule="auto"/>
        <w:jc w:val="center"/>
      </w:pPr>
      <w:r>
        <w:t xml:space="preserve">ARTICLE 5.  EFFECTIVE DATES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S.J.R. 2, 88th Legislature, 1st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and Sections 25.23(a-1), 26.04(a-1) and (c-1), 26.08(q), 26.09(c-1), 26.15(h), 31.01(d-2), (d-3), (d-4), and (d-5), and 31.02(a-1), Tax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Article 4 of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