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88S10106 KSM-D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districts in counties along the state's Gulf Coast are subject to greater expenses than their inland counterparts;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Due to their geographical location, districts in coastal counties are confronted with exceptional costs that are expected to continue to rise; recent years have seen more frequent and intense hurricanes and rainfall, leading to significant expenditures for maintenance, renovations, and repairs; moreover, insurance premiums are climbing as companies reassess risk in regions that are particularly vulnerable to extreme weather events;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Currently, the recapture formulas of the public school finance system do not take into consideration the elevated expenses borne by school districts in counties along the Gulf Coast;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Texas, 1st Called Session, hereby request that the Lieutenant Governor and the Speaker of the House of Representatives create a joint interim committee to study issuance of credit against required recapture payments for Gulf Coast county school districts with excess facilities costs;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committee submit a full report, including findings and recommendations, to the 89th Texas Legislature in January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