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$100,000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1st Called Session, 2023,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amendment to Section 22, Article VIII, of this constitution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w:t>
      </w:r>
      <w:r>
        <w:t xml:space="preserve"> </w:t>
      </w:r>
      <w:r>
        <w:t xml:space="preserve">"The constitutional amendment to increase the amount of the residence homestead exemption from ad valorem taxation for public school purposes from $40,000 to $100,000; to adjust the amount of the limitation on ad valorem taxes for public school purposes imposed on the residence homestead of a person who is disabled or is 65 years of age or older to reflect increases in certain exemption amounts; and to except certain appropriations to pay for school district ad valorem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