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S.R.</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BE IT RESOLVED by the Senate of the State of Texas, That the Permanent Rules of the Senate, 88th Legislature, be amended by amending Rule 1.04 to read as follows:</w:t>
      </w:r>
    </w:p>
    <w:p w:rsidR="003F3435" w:rsidRDefault="0032493E">
      <w:pPr>
        <w:spacing w:line="480" w:lineRule="auto"/>
        <w:ind w:firstLine="720"/>
        <w:jc w:val="both"/>
      </w:pPr>
      <w:r>
        <w:t xml:space="preserve">Rule 1.04.</w:t>
      </w:r>
      <w:r xml:space="preserve">
        <w:t> </w:t>
      </w:r>
      <w:r xml:space="preserve">
        <w:t> </w:t>
      </w:r>
      <w:r>
        <w:t xml:space="preserve">A Secretary, Journal Clerk, Calendar Clerk, Enrolling Clerk, Sergeant at Arms, Doorkeeper, Chaplain, and such other officers as a majority vote may determine to be necessary shall be elected at the opening of the session of the Legislature to continue in office until discharged by the Senate and shall perform such duties as may be incumbent upon them in their respective offices, under the direction of the Senate. </w:t>
      </w:r>
      <w:r>
        <w:t xml:space="preserve"> </w:t>
      </w:r>
      <w:r>
        <w:t xml:space="preserve">Such officers may not be related to any current member of the Texas Legislature nor may any employee of the Senate be related to any current member of the Texas Legislature</w:t>
      </w:r>
      <w:r>
        <w:rPr>
          <w:u w:val="single"/>
        </w:rPr>
        <w:t xml:space="preserve">, unless such employee has held a position in the Senate for at least 12 months immediately prior to the election of the member of the legislature</w:t>
      </w:r>
      <w:r>
        <w:t xml:space="preserve">. </w:t>
      </w:r>
      <w:r>
        <w:t xml:space="preserve"> </w:t>
      </w:r>
      <w:r>
        <w:t xml:space="preserve">The Secretary of the Senate shall, in addition to other duties, be responsible for the coordination of the other offices and divisions of the Senate.</w:t>
      </w:r>
    </w:p>
    <w:p>
      <w:r>
        <w:br w:type="page"/>
      </w: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June 7, 2023, by the </w:t>
      </w:r>
      <w:r>
        <w:t xml:space="preserve">following vote:</w:t>
      </w:r>
      <w:r xml:space="preserve">
        <w:t> </w:t>
      </w:r>
      <w:r xml:space="preserve">
        <w:t> </w:t>
      </w:r>
      <w:r>
        <w:t xml:space="preserve">Yeas</w:t>
      </w:r>
      <w:r xml:space="preserve">
        <w:t> </w:t>
      </w:r>
      <w:r>
        <w:t xml:space="preserve">29, Nays</w:t>
      </w:r>
      <w:r xml:space="preserve">
        <w:t> </w:t>
      </w:r>
      <w:r>
        <w:t xml:space="preserve">0.</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