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2023S0445-1  06/07/23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S.R.</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Ellis County Precinct Two, which recently marked 3,000 days of no lost time accidents; and</w:t>
      </w:r>
    </w:p>
    <w:p w:rsidR="003F3435" w:rsidRDefault="0032493E">
      <w:pPr>
        <w:spacing w:line="480" w:lineRule="auto"/>
        <w:ind w:firstLine="720"/>
        <w:jc w:val="both"/>
      </w:pPr>
      <w:r>
        <w:t xml:space="preserve">WHEREAS, Located in North Texas, Ellis County Precinct Two is led by Commissioner Lane Grayson; the precinct's dedicated and hardworking employees serve the residents and communities of Ellis County with diligence and integrity and are responsible for maintaining local roads and bridges, including more than 230 miles of rural roadways in the county; and</w:t>
      </w:r>
    </w:p>
    <w:p w:rsidR="003F3435" w:rsidRDefault="0032493E">
      <w:pPr>
        <w:spacing w:line="480" w:lineRule="auto"/>
        <w:ind w:firstLine="720"/>
        <w:jc w:val="both"/>
      </w:pPr>
      <w:r>
        <w:t xml:space="preserve">WHEREAS, Achieving 3,000 days of no lost time accidents represents the precinct's commitment to safety and its successful prevention of employee injuries requiring workers' compensation throughout this time; Ellis County Precinct Two recorded 3,000 days of no lost time on March 20, 2023; and</w:t>
      </w:r>
    </w:p>
    <w:p w:rsidR="003F3435" w:rsidRDefault="0032493E">
      <w:pPr>
        <w:spacing w:line="480" w:lineRule="auto"/>
        <w:ind w:firstLine="720"/>
        <w:jc w:val="both"/>
      </w:pPr>
      <w:r>
        <w:t xml:space="preserve">WHEREAS, The precinct's administrators and employees work hard to promote public safety and consistently strive for excellence in serving the residents of Ellis County; their outstanding efforts have contributed to setting an exemplary standard in workplace safety, and they are indeed deserving of special recognition for reaching this notable milestone; now, therefore, be it</w:t>
      </w:r>
    </w:p>
    <w:p w:rsidR="003F3435" w:rsidRDefault="0032493E">
      <w:pPr>
        <w:spacing w:line="480" w:lineRule="auto"/>
        <w:ind w:firstLine="720"/>
        <w:jc w:val="both"/>
      </w:pPr>
      <w:r>
        <w:t xml:space="preserve">RESOLVED, That the Senate of the State of Texas, 88th Legislature, 1st Called Session, hereby commend the leaders and employees of Ellis County Precinct Two on their commitment to workplace safety and congratulate them on 3,000 days of no lost time; and, be it further</w:t>
      </w:r>
    </w:p>
    <w:p w:rsidR="003F3435" w:rsidRDefault="0032493E">
      <w:pPr>
        <w:spacing w:line="480" w:lineRule="auto"/>
        <w:ind w:firstLine="720"/>
        <w:jc w:val="both"/>
      </w:pPr>
      <w:r>
        <w:t xml:space="preserve">RESOLVED, That a copy of this Resolution be prepared for the precinct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