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 on municipal and county expenditures.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LIMIT ON ANNUAL EXPENDITURES.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Legislative Budget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price index" means the average over a calendar year of the index the board considers to most accurately report changes in the purchasing power of the dollar for consumers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"Inflation rate" means the amount, expressed in decimal form rounded to the nearest thousandth, computed by determining the percentage change in the consumer price index for the preceding calendar year as compared to the consumer price index for the calendar year preceding that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"Population growth rate" means the rate of growth of the state's population during the preceding calendar year, expressed in decimal form rounded to the nearest thousandth, determined by the board in accordance with the most recent population estimates published by the United States Census Bureau.</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political subdivision that is a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a political subdivision's total expenditures from all available sources of revenue in a fiscal year may not exceed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t>
      </w:r>
      <w:r>
        <w:rPr>
          <w:u w:val="single"/>
        </w:rPr>
        <w:t xml:space="preserve">he political subdivision's total expenditures from all available sources of revenue in the preceding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determined by multiplying: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political subdivision's total expenditures from all available sources of revenue in the preceding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sum of one and the rate most recently published by the board under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January 31 of each year, the board shall publish a rate equal to the product of the population growth rate and the inflation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subdivision's total expenditures from all available sources of local revenue in a fiscal year may exceed the amount described by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political subdivision's voters approve the additional expenditures for that fiscal year at an election called for that purpose and held on a uniform election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declares or renews a declaration of a state of disaster under Section 418.014, Government Code, in that fiscal year, and the governor's designation of the area threatened includes all or part of the geographic territory of the political subdivision.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this section, the following are not considered an available source of revenue: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received from the issuance of bonds approved by the voters;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grant, donation, or gift.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140.014, Local Government Code, as added by this Act, applies only to a fiscal year of a municipality or county that begins on or after December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