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reducing school district maintenance and operations ad valorem taxes through the use of certain surplus state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48.255, Education Code, is amended by amending Subsection (b) and adding Subsections (d) and (e)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(d), the</w:t>
      </w:r>
      <w:r>
        <w:t xml:space="preserve"> [</w:t>
      </w:r>
      <w:r>
        <w:rPr>
          <w:strike/>
        </w:rPr>
        <w:t xml:space="preserve">The</w:t>
      </w:r>
      <w:r>
        <w:t xml:space="preserve">] state compression percentage is the lower of:</w:t>
      </w:r>
    </w:p>
    <w:p w:rsidR="003F3435" w:rsidRDefault="0032493E">
      <w:pPr>
        <w:spacing w:line="480" w:lineRule="auto"/>
        <w:ind w:firstLine="1440"/>
        <w:jc w:val="both"/>
      </w:pPr>
      <w:r>
        <w:t xml:space="preserve">(1)</w:t>
      </w:r>
      <w:r xml:space="preserve">
        <w:t> </w:t>
      </w:r>
      <w:r xml:space="preserve">
        <w:t> </w:t>
      </w:r>
      <w:r>
        <w:t xml:space="preserve">93 percent, or a lower percentage set by appropriation for a school year;</w:t>
      </w:r>
    </w:p>
    <w:p w:rsidR="003F3435" w:rsidRDefault="0032493E">
      <w:pPr>
        <w:spacing w:line="480" w:lineRule="auto"/>
        <w:ind w:firstLine="1440"/>
        <w:jc w:val="both"/>
      </w:pPr>
      <w:r>
        <w:t xml:space="preserve">(2)</w:t>
      </w:r>
      <w:r xml:space="preserve">
        <w:t> </w:t>
      </w:r>
      <w:r xml:space="preserve">
        <w:t> </w:t>
      </w:r>
      <w:r>
        <w:t xml:space="preserve">the percentage determined by the following formula:</w:t>
      </w:r>
    </w:p>
    <w:p w:rsidR="003F3435" w:rsidRDefault="0032493E">
      <w:pPr>
        <w:spacing w:line="480" w:lineRule="auto"/>
        <w:jc w:val="center"/>
      </w:pPr>
      <w:r>
        <w:t xml:space="preserve">SCP = PYCP X 1.025/(1 + ECPV); or</w:t>
      </w:r>
    </w:p>
    <w:p w:rsidR="003F3435" w:rsidRDefault="0032493E">
      <w:pPr>
        <w:spacing w:line="480" w:lineRule="auto"/>
        <w:ind w:firstLine="1440"/>
        <w:jc w:val="both"/>
      </w:pPr>
      <w:r>
        <w:t xml:space="preserve">(3)</w:t>
      </w:r>
      <w:r xml:space="preserve">
        <w:t> </w:t>
      </w:r>
      <w:r xml:space="preserve">
        <w:t> </w:t>
      </w:r>
      <w:r>
        <w:t xml:space="preserve">the percentage determined under this section for the preceding school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each school year, the commissioner shall reduce the state compression percentage determined under Subsection (b) to the lowest percentage possible as a result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deposited to the credit of the property tax relief fund under Section 403.109(e),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additional money appropriated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if for any school year the commissioner determines under Subsection (b) or (d) that the state compression percentage is zero: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school district may not impose a tier one maintenance and operations tax for that school year or for any subsequent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school district is entitled to funding under Chapter 46 and this chapter for each school year as if the district had: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tier one maintenance and operations tax rate equal to the district's maximum compressed tax rate determined under Section 48.2551;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 local share for purposes of Section 48.256.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403.109, Government Code, is amended by adding Subsections (e), (f), and (g)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each state fiscal biennium beginning before a determination by the commissioner of education under Section 48.255(e), Education Code,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allocate for deposit to the credit of the fund general revenue in an amount equal to 100 percent of the amount by which the amount of general revenue received in that biennium exceeds the amount of consolidated general revenue appropriations, as defined by Section 316.001, that could be appropriated within the limit on the rate of growth of those appropriations adopted under Section 316.005 for that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periodically deposit to the credit of the fund the general revenue allocated under Subdivision (1), with the final deposit for that biennium to be made not later than the 90th day of the next state fiscal biennium.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provision of this section, and except as otherwise provided by this subsection, money deposited to the credit of the fund under Subsection (e) may be appropriated only to the Texas Education Agency for use in providing property tax relief through reduction of the state compression percentage, as defined by Section 48.255, Education Code. </w:t>
      </w:r>
      <w:r>
        <w:rPr>
          <w:u w:val="single"/>
        </w:rPr>
        <w:t xml:space="preserve"> </w:t>
      </w:r>
      <w:r>
        <w:rPr>
          <w:u w:val="single"/>
        </w:rPr>
        <w:t xml:space="preserve">If the amount of money available to be appropriated under this subsection for a state fiscal biennium exceeds the amount of school district maintenance and operations taxes the commissioner of education estimates to be payable for that biennium, the surplus amount may be appropriated for any purpose.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provision of this section, for the state fiscal biennium beginning September 1, 2023, the comptroller shall allocate for deposit to the credit of the fund general revenue in an amount equal to 63 percent of the amount by which the amount of general revenue received before that biennium exceeds the amount of consolidated general revenue appropriations, as defined by Section 316.001, that could be appropriated within the limit on the rate of growth of those appropriations adopted under Section 316.005 for that biennium.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state fiscal biennium beginning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