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2.5</w:t>
      </w:r>
      <w:r>
        <w:t xml:space="preserve"> [</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for ad valorem taxation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2nd Called Session, 2023, to authorize the legislature to set a lower limit on the maximum appraised value of a residence homestead for ad valorem taxation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