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cost-of-living adjustment applicable to certain benefits paid by the Employees Retirement System of Texas and a biennial study on providing additional adjustments based on the effects of increased inflation.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814, Government Code, is amended by adding Section 814.605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814.605.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ONE-TIME ADJUSTMENT TO BENEFITS.  (a)  The amount of a monthly service retirement benefit, disability retirement benefit, or death benefit paid under this chapter to a retiree or beneficiary for service credited in the employee class is increased to include a one-time 10 percent adjustment in accordance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shall recompute the amount of a benefit paid monthly under this chapter by applying the 10 percent adjustment to the monthly amount otherwise required to be paid as determined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815, Government Code, is amended by adding Section 815.5105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815.5105.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STUDY AND REPORT ON PROVIDING ADDITIONAL COST-OF-LIVING ADJUSTMENTS BASED ON EFFECTS OF INFLATION. </w:t>
      </w:r>
      <w:r>
        <w:rPr>
          <w:u w:val="single"/>
        </w:rPr>
        <w:t xml:space="preserve"> </w:t>
      </w:r>
      <w:r>
        <w:rPr>
          <w:u w:val="single"/>
        </w:rPr>
        <w:t xml:space="preserve">Not later than January 1 of each odd-numbered year, the retirement system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conduct a study to evaluate and identify the effects, if any, that increased inflation has had on annuitants of the system: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preceding state fiscal biennium;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applicable, since annuitants last received a cost-of-living adjustment;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 written report to the legislature containing: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findings of the study;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appropriate, recommendations for potential legislation to address any adverse effects of inflation identified under Subdivision (1), including specific recommendations regarding whether and in what amount the legislature would need to provide a cost-of-living adjustment to the benefits of annuitants to remedy those effects.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814.604,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814.605, Government Code, as added by this Act, applies only to a monthly benefit payment made by the Employees Retirement System of Texas on or after October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